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E1C63"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STATEMENT OF WORK (SOW) / SALIENT CHARACTERISTICS</w:t>
      </w:r>
    </w:p>
    <w:p w14:paraId="4943AABA"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Procurement of Laboratory Chemical Fume Hood &amp; Base Cabinet Assembly</w:t>
      </w:r>
    </w:p>
    <w:p w14:paraId="43F97437" w14:textId="77777777" w:rsidR="00E64D25" w:rsidRPr="00E64D25" w:rsidRDefault="00E64D25" w:rsidP="00E64D25">
      <w:pPr>
        <w:tabs>
          <w:tab w:val="left" w:pos="8244"/>
        </w:tabs>
        <w:rPr>
          <w:rFonts w:ascii="Times New Roman" w:hAnsi="Times New Roman" w:cs="Times New Roman"/>
        </w:rPr>
      </w:pPr>
    </w:p>
    <w:p w14:paraId="53EC493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1. OBJECTIVE:</w:t>
      </w:r>
    </w:p>
    <w:p w14:paraId="71DA3BED" w14:textId="3112D298" w:rsidR="00620570" w:rsidRDefault="00E64D25" w:rsidP="00E64D25">
      <w:pPr>
        <w:tabs>
          <w:tab w:val="left" w:pos="8244"/>
        </w:tabs>
        <w:rPr>
          <w:rFonts w:ascii="Times New Roman" w:hAnsi="Times New Roman" w:cs="Times New Roman"/>
          <w:b/>
          <w:bCs/>
        </w:rPr>
      </w:pPr>
      <w:r w:rsidRPr="00620570">
        <w:rPr>
          <w:rFonts w:ascii="Times New Roman" w:hAnsi="Times New Roman" w:cs="Times New Roman"/>
          <w:b/>
          <w:bCs/>
        </w:rPr>
        <w:t>Naval Research Laboratory</w:t>
      </w:r>
      <w:r w:rsidR="00620570" w:rsidRPr="00620570">
        <w:rPr>
          <w:rFonts w:ascii="Times New Roman" w:hAnsi="Times New Roman" w:cs="Times New Roman"/>
          <w:b/>
          <w:bCs/>
        </w:rPr>
        <w:t xml:space="preserve"> has a Brand Name only RFQ for Mott Manufacturing. </w:t>
      </w:r>
    </w:p>
    <w:p w14:paraId="123E3F16" w14:textId="197BF2D0" w:rsidR="0088018B" w:rsidRPr="0088018B" w:rsidRDefault="0088018B" w:rsidP="0088018B">
      <w:pPr>
        <w:autoSpaceDE w:val="0"/>
        <w:autoSpaceDN w:val="0"/>
        <w:adjustRightInd w:val="0"/>
        <w:spacing w:after="0" w:line="240" w:lineRule="auto"/>
        <w:rPr>
          <w:rFonts w:cstheme="minorHAnsi"/>
          <w:b/>
          <w:color w:val="000000" w:themeColor="text1"/>
          <w:sz w:val="28"/>
          <w:szCs w:val="28"/>
        </w:rPr>
      </w:pPr>
      <w:r w:rsidRPr="0088018B">
        <w:rPr>
          <w:rFonts w:cstheme="minorHAnsi"/>
          <w:b/>
          <w:color w:val="000000" w:themeColor="text1"/>
          <w:sz w:val="28"/>
          <w:szCs w:val="28"/>
        </w:rPr>
        <w:t>Authorized OEM Resellers</w:t>
      </w:r>
      <w:r w:rsidR="0022708F">
        <w:rPr>
          <w:rFonts w:cstheme="minorHAnsi"/>
          <w:b/>
          <w:color w:val="000000" w:themeColor="text1"/>
          <w:sz w:val="28"/>
          <w:szCs w:val="28"/>
        </w:rPr>
        <w:t>/Dealer</w:t>
      </w:r>
      <w:r w:rsidRPr="0088018B">
        <w:rPr>
          <w:rFonts w:cstheme="minorHAnsi"/>
          <w:b/>
          <w:color w:val="000000" w:themeColor="text1"/>
          <w:sz w:val="28"/>
          <w:szCs w:val="28"/>
        </w:rPr>
        <w:t xml:space="preserve"> only.</w:t>
      </w:r>
    </w:p>
    <w:p w14:paraId="7906F7AB" w14:textId="77777777" w:rsidR="0088018B" w:rsidRPr="0088018B" w:rsidRDefault="0088018B" w:rsidP="0088018B">
      <w:pPr>
        <w:autoSpaceDE w:val="0"/>
        <w:autoSpaceDN w:val="0"/>
        <w:adjustRightInd w:val="0"/>
        <w:spacing w:after="0" w:line="240" w:lineRule="auto"/>
        <w:rPr>
          <w:rFonts w:cstheme="minorHAnsi"/>
          <w:b/>
          <w:color w:val="000000" w:themeColor="text1"/>
          <w:sz w:val="28"/>
          <w:szCs w:val="28"/>
        </w:rPr>
      </w:pPr>
      <w:r w:rsidRPr="0088018B">
        <w:rPr>
          <w:rFonts w:cstheme="minorHAnsi"/>
          <w:b/>
          <w:color w:val="000000" w:themeColor="text1"/>
          <w:sz w:val="28"/>
          <w:szCs w:val="28"/>
        </w:rPr>
        <w:t>Submit Authorized OEM Reseller letter with quote.</w:t>
      </w:r>
    </w:p>
    <w:p w14:paraId="1B5862AB" w14:textId="77777777" w:rsidR="0088018B" w:rsidRDefault="0088018B" w:rsidP="0088018B">
      <w:pPr>
        <w:autoSpaceDE w:val="0"/>
        <w:autoSpaceDN w:val="0"/>
        <w:adjustRightInd w:val="0"/>
        <w:spacing w:after="0" w:line="240" w:lineRule="auto"/>
        <w:rPr>
          <w:rFonts w:cstheme="minorHAnsi"/>
          <w:b/>
          <w:color w:val="000000" w:themeColor="text1"/>
          <w:sz w:val="28"/>
          <w:szCs w:val="28"/>
        </w:rPr>
      </w:pPr>
      <w:r w:rsidRPr="0088018B">
        <w:rPr>
          <w:rFonts w:cstheme="minorHAnsi"/>
          <w:b/>
          <w:color w:val="000000" w:themeColor="text1"/>
          <w:sz w:val="28"/>
          <w:szCs w:val="28"/>
        </w:rPr>
        <w:t>All Quotes must provide shipping in quotes, if applicable, to be considered</w:t>
      </w:r>
    </w:p>
    <w:p w14:paraId="2A252B98" w14:textId="5FB85B69" w:rsidR="00453963" w:rsidRPr="0088018B" w:rsidRDefault="00453963" w:rsidP="0088018B">
      <w:pPr>
        <w:autoSpaceDE w:val="0"/>
        <w:autoSpaceDN w:val="0"/>
        <w:adjustRightInd w:val="0"/>
        <w:spacing w:after="0" w:line="240" w:lineRule="auto"/>
        <w:rPr>
          <w:rFonts w:cstheme="minorHAnsi"/>
          <w:b/>
          <w:color w:val="000000" w:themeColor="text1"/>
          <w:sz w:val="28"/>
          <w:szCs w:val="28"/>
        </w:rPr>
      </w:pPr>
      <w:r>
        <w:rPr>
          <w:rFonts w:cstheme="minorHAnsi"/>
          <w:b/>
          <w:color w:val="000000" w:themeColor="text1"/>
          <w:sz w:val="28"/>
          <w:szCs w:val="28"/>
        </w:rPr>
        <w:t>Vendor must be TAA and BAA complaint.</w:t>
      </w:r>
    </w:p>
    <w:p w14:paraId="24635846" w14:textId="77777777" w:rsidR="0088018B" w:rsidRPr="00620570" w:rsidRDefault="0088018B" w:rsidP="00E64D25">
      <w:pPr>
        <w:tabs>
          <w:tab w:val="left" w:pos="8244"/>
        </w:tabs>
        <w:rPr>
          <w:rFonts w:ascii="Times New Roman" w:hAnsi="Times New Roman" w:cs="Times New Roman"/>
          <w:b/>
          <w:bCs/>
        </w:rPr>
      </w:pPr>
    </w:p>
    <w:p w14:paraId="2AC241D0" w14:textId="5E6F609C" w:rsidR="00E64D25" w:rsidRPr="00E64D25" w:rsidRDefault="00620570" w:rsidP="00E64D25">
      <w:pPr>
        <w:tabs>
          <w:tab w:val="left" w:pos="8244"/>
        </w:tabs>
        <w:rPr>
          <w:rFonts w:ascii="Times New Roman" w:hAnsi="Times New Roman" w:cs="Times New Roman"/>
        </w:rPr>
      </w:pPr>
      <w:r>
        <w:rPr>
          <w:rFonts w:ascii="Times New Roman" w:hAnsi="Times New Roman" w:cs="Times New Roman"/>
        </w:rPr>
        <w:t>This RFQ</w:t>
      </w:r>
      <w:r w:rsidR="00E64D25" w:rsidRPr="00E64D25">
        <w:rPr>
          <w:rFonts w:ascii="Times New Roman" w:hAnsi="Times New Roman" w:cs="Times New Roman"/>
        </w:rPr>
        <w:t xml:space="preserve"> requires the acquisition and delivery of one (1) complete 72-inch laboratory chemical fume hood system, including a matching dished epoxy work surface, specialized base cabinet assembly, and integration accessories to support ongoing chemical synthesis operations.</w:t>
      </w:r>
    </w:p>
    <w:p w14:paraId="7963992F" w14:textId="77777777" w:rsidR="00E64D25" w:rsidRPr="00E64D25" w:rsidRDefault="00E64D25" w:rsidP="00E64D25">
      <w:pPr>
        <w:tabs>
          <w:tab w:val="left" w:pos="8244"/>
        </w:tabs>
        <w:rPr>
          <w:rFonts w:ascii="Times New Roman" w:hAnsi="Times New Roman" w:cs="Times New Roman"/>
        </w:rPr>
      </w:pPr>
    </w:p>
    <w:p w14:paraId="7CF88AFE"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2. FUME HOOD SUPERSTRUCTURE (MINIMUM SALIENT CHARACTERISTICS):</w:t>
      </w:r>
    </w:p>
    <w:p w14:paraId="65F93A44"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The contractor shall provide a high-efficiency benchtop chemical fume hood meeting or exceeding the following specifications:</w:t>
      </w:r>
    </w:p>
    <w:p w14:paraId="253D369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Overall Dimensions: Approximately 72 inches (6 ft) exterior width, ~36 inches exterior depth, and ~102 inches exterior height (including sash enclosure).</w:t>
      </w:r>
    </w:p>
    <w:p w14:paraId="3865252A"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Airflow Design: Bypass, Constant Air Volume (CAV) design, engineered to be field-convertible to a Variable Air Volume (VAV) system without requiring structural modification of the physical hood superstructure.</w:t>
      </w:r>
    </w:p>
    <w:p w14:paraId="1B4F86F7"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Sash System: Single vertical-rising sash constructed of laminated or tempered safety glass, operated via a low-maintenance, heavy-duty chain-and-sprocket counterweight mechanism.</w:t>
      </w:r>
    </w:p>
    <w:p w14:paraId="54F968E0"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Exterior &amp; Frame Construction: Heavy-duty, welded gauge sheet steel with a chemical-resistant, powder-coated finish.</w:t>
      </w:r>
    </w:p>
    <w:p w14:paraId="7F394D96" w14:textId="08AFF623"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Exterior Color: White </w:t>
      </w:r>
      <w:r w:rsidR="00732783">
        <w:rPr>
          <w:rFonts w:ascii="Times New Roman" w:hAnsi="Times New Roman" w:cs="Times New Roman"/>
        </w:rPr>
        <w:t xml:space="preserve">or beige </w:t>
      </w:r>
      <w:r w:rsidRPr="00E64D25">
        <w:rPr>
          <w:rFonts w:ascii="Times New Roman" w:hAnsi="Times New Roman" w:cs="Times New Roman"/>
        </w:rPr>
        <w:t>(or manufacturer's standard equivalent white</w:t>
      </w:r>
      <w:r w:rsidR="00732783">
        <w:rPr>
          <w:rFonts w:ascii="Times New Roman" w:hAnsi="Times New Roman" w:cs="Times New Roman"/>
        </w:rPr>
        <w:t xml:space="preserve"> or beige</w:t>
      </w:r>
      <w:r w:rsidRPr="00E64D25">
        <w:rPr>
          <w:rFonts w:ascii="Times New Roman" w:hAnsi="Times New Roman" w:cs="Times New Roman"/>
        </w:rPr>
        <w:t>).</w:t>
      </w:r>
    </w:p>
    <w:p w14:paraId="54626921"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Interior Liner: White Fiberglass Reinforced Polyester (FRP).</w:t>
      </w:r>
    </w:p>
    <w:p w14:paraId="5E67F7B8"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Characteristics: Chemical-resistant, non-porous, smooth/easy-to-clean, with a Class A fire-retardant rating (flame spread index of 25 or less per ASTM E84 / UL 181).</w:t>
      </w:r>
    </w:p>
    <w:p w14:paraId="55973ACA"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lastRenderedPageBreak/>
        <w:t>* Service Access: Removable exterior side panels and front pylons for easy maintenance access to plumbing and electrical services.</w:t>
      </w:r>
    </w:p>
    <w:p w14:paraId="25B73545" w14:textId="77777777" w:rsidR="00E64D25" w:rsidRPr="00E64D25" w:rsidRDefault="00E64D25" w:rsidP="00E64D25">
      <w:pPr>
        <w:tabs>
          <w:tab w:val="left" w:pos="8244"/>
        </w:tabs>
        <w:rPr>
          <w:rFonts w:ascii="Times New Roman" w:hAnsi="Times New Roman" w:cs="Times New Roman"/>
        </w:rPr>
      </w:pPr>
    </w:p>
    <w:p w14:paraId="00836266"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3. WORK SURFACE &amp; SPILL CONTAINMENT:</w:t>
      </w:r>
    </w:p>
    <w:p w14:paraId="4B629DB9"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The contractor shall supply a matching, heavy-duty interior worktop meeting the following specifications:</w:t>
      </w:r>
    </w:p>
    <w:p w14:paraId="2149A4A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Material: Molded, monolithic black epoxy resin, highly resistant to extreme heat, corrosive acids, alkalis, and organic solvents.</w:t>
      </w:r>
    </w:p>
    <w:p w14:paraId="213EE6A0"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Thickness: Minimum of 1-1/4 inches (1.25").</w:t>
      </w:r>
    </w:p>
    <w:p w14:paraId="05224BF0"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Configuration: Dished design (marine edge border) to contain liquid spills within the interior work chamber.</w:t>
      </w:r>
    </w:p>
    <w:p w14:paraId="0FC7F86D" w14:textId="77777777" w:rsidR="00E64D25" w:rsidRPr="00E64D25" w:rsidRDefault="00E64D25" w:rsidP="00E64D25">
      <w:pPr>
        <w:tabs>
          <w:tab w:val="left" w:pos="8244"/>
        </w:tabs>
        <w:rPr>
          <w:rFonts w:ascii="Times New Roman" w:hAnsi="Times New Roman" w:cs="Times New Roman"/>
        </w:rPr>
      </w:pPr>
    </w:p>
    <w:p w14:paraId="059236F5"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4. SAFETY MONITORING &amp; INSTRUMENTATION:</w:t>
      </w:r>
    </w:p>
    <w:p w14:paraId="555301C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The fume hood must be equipped with a factory-mounted digital airflow monitor and alarm system (TEL AFA1000 or equal) meeting the following requirements:</w:t>
      </w:r>
    </w:p>
    <w:p w14:paraId="6C7953DD"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Real-time continuous digital display of face velocity in Feet Per Minute (FPM) or m/s.</w:t>
      </w:r>
    </w:p>
    <w:p w14:paraId="0593342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Tri-color visual LED indicators (Green = Normal, Amber = Caution, Red = Danger/Low Airflow).</w:t>
      </w:r>
    </w:p>
    <w:p w14:paraId="387CD847"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Full compliance with ANSI/ASHRAE 110-2016 safety and containment testing standards.</w:t>
      </w:r>
    </w:p>
    <w:p w14:paraId="2881E05B" w14:textId="77777777" w:rsidR="00E64D25" w:rsidRPr="00E64D25" w:rsidRDefault="00E64D25" w:rsidP="00E64D25">
      <w:pPr>
        <w:tabs>
          <w:tab w:val="left" w:pos="8244"/>
        </w:tabs>
        <w:rPr>
          <w:rFonts w:ascii="Times New Roman" w:hAnsi="Times New Roman" w:cs="Times New Roman"/>
        </w:rPr>
      </w:pPr>
    </w:p>
    <w:p w14:paraId="1988BE41"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5. ELECTRICAL &amp; UTILITY FIXTURES:</w:t>
      </w:r>
    </w:p>
    <w:p w14:paraId="2DF78A1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The fume hood superstructure shall be factory pre-wired and pre-plumbed with all internal connections terminating for facility connection:</w:t>
      </w:r>
    </w:p>
    <w:p w14:paraId="0C7A9E2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Electrical Receptacles:</w:t>
      </w:r>
    </w:p>
    <w:p w14:paraId="57131929"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Two (2) Ground Fault Circuit Interrupter (GFCI), 120-volt, 20-amp, duplex electrical outlets mounted on the exterior front posts/side pylons.</w:t>
      </w:r>
    </w:p>
    <w:p w14:paraId="12B91A8E"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All wiring must comply with the National Electrical Code (NEC) and be UL/CSA listed.</w:t>
      </w:r>
    </w:p>
    <w:p w14:paraId="623C7933"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Laboratory Service Fixtures:</w:t>
      </w:r>
    </w:p>
    <w:p w14:paraId="45027B89"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One (1) pre-plumbed fixture for Gas (Fuel Gas/Inert Gas).</w:t>
      </w:r>
    </w:p>
    <w:p w14:paraId="0B4A00BA"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One (1) pre-plumbed fixture for Vacuum (VAC).</w:t>
      </w:r>
    </w:p>
    <w:p w14:paraId="310A9DC3"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lastRenderedPageBreak/>
        <w:t xml:space="preserve">  - Fixture Placement: Both Gas and VAC fixtures must be grouped and installed on the LEFT-HAND SIDE of the hood.</w:t>
      </w:r>
    </w:p>
    <w:p w14:paraId="7F531289"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Controls &amp; Nozzles: Remote-control brass/needle valves mounted on the exterior front pylon, piped to matching color-coded service outlet nozzles on the interior sidewall (coded per SEFA/scientific standards, e.g., Blue for Gas, Yellow for Vacuum).</w:t>
      </w:r>
    </w:p>
    <w:p w14:paraId="30FB03A9" w14:textId="77777777" w:rsidR="00E64D25" w:rsidRPr="00E64D25" w:rsidRDefault="00E64D25" w:rsidP="00E64D25">
      <w:pPr>
        <w:tabs>
          <w:tab w:val="left" w:pos="8244"/>
        </w:tabs>
        <w:rPr>
          <w:rFonts w:ascii="Times New Roman" w:hAnsi="Times New Roman" w:cs="Times New Roman"/>
        </w:rPr>
      </w:pPr>
    </w:p>
    <w:p w14:paraId="28C847D5"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6. SUPPORTING BASE CABINET ASSEMBLY:</w:t>
      </w:r>
    </w:p>
    <w:p w14:paraId="26787D43"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The contractor shall provide a matching three-piece base cabinet assembly designed to support the 72-inch wide fume hood superstructure. Total combined width must equal 72 inches, with each cabinet measuring approximately 24"W x 34-3/4"H x 22"D to achieve standing work height:</w:t>
      </w:r>
    </w:p>
    <w:p w14:paraId="776A46B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One (1) 24"W Acid / Corrosive Storage Cabinet:</w:t>
      </w:r>
    </w:p>
    <w:p w14:paraId="43287A81"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One-piece molded chemical-resistant polyethylene interior liner to resist aggressive mineral acids and bases.</w:t>
      </w:r>
    </w:p>
    <w:p w14:paraId="02F08966"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Pre-drilled rear vent ports with flame arrestor screens.</w:t>
      </w:r>
    </w:p>
    <w:p w14:paraId="60D3BC0F"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Liquid-tight containment lip/tray at the bottom to catch accidental spills.</w:t>
      </w:r>
    </w:p>
    <w:p w14:paraId="35E27986"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One (1) 24"W Insulated Solvent / Flammable Storage Cabinet:</w:t>
      </w:r>
    </w:p>
    <w:p w14:paraId="4C5CCDA4"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Double-walled sheet steel construction with a 1.5-inch insulating air barrier, fully compliant with NFPA 30 and OSHA regulations.</w:t>
      </w:r>
    </w:p>
    <w:p w14:paraId="1F49DCC1"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- 3-point key lock latch system, self-closing doors, and a 2-inch liquid-tight bottom sill.</w:t>
      </w:r>
    </w:p>
    <w:p w14:paraId="6FA69939"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One (1) 24"W Vacuum Pump Utility Cabinet:</w:t>
      </w:r>
    </w:p>
    <w:p w14:paraId="655119FD"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Floorless/bottomless design engineered specifically for vacuum pump housing.</w:t>
      </w:r>
    </w:p>
    <w:p w14:paraId="735EE988"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Includes a heavy-duty, roll-out castered dolly to facilitate pump roll-in/roll-out maintenance without heavy lifting.</w:t>
      </w:r>
    </w:p>
    <w:p w14:paraId="1B31F275"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Integrated, low-noise exhaust/cooling fan wired for 120V power to dissipate operating heat.</w:t>
      </w:r>
    </w:p>
    <w:p w14:paraId="662F2348"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Acoustic and vibration-dampening interior insulation.</w:t>
      </w:r>
    </w:p>
    <w:p w14:paraId="39696483" w14:textId="77777777" w:rsidR="00E64D25" w:rsidRPr="00E64D25" w:rsidRDefault="00E64D25" w:rsidP="00E64D25">
      <w:pPr>
        <w:tabs>
          <w:tab w:val="left" w:pos="8244"/>
        </w:tabs>
        <w:rPr>
          <w:rFonts w:ascii="Times New Roman" w:hAnsi="Times New Roman" w:cs="Times New Roman"/>
        </w:rPr>
      </w:pPr>
    </w:p>
    <w:p w14:paraId="1B41C9E3"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7. ACCESSORIES &amp; INTEGRATION KITS:</w:t>
      </w:r>
    </w:p>
    <w:p w14:paraId="45EACA34"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Pre-Installed Stainless Steel Distillation Lattice Rack:</w:t>
      </w:r>
    </w:p>
    <w:p w14:paraId="5B5C0455"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lastRenderedPageBreak/>
        <w:t xml:space="preserve">  - Factory-installed, three-sided apparatus lattice rack spanning the full interior back wall and both side walls.</w:t>
      </w:r>
    </w:p>
    <w:p w14:paraId="741F09BE"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Constructed of heavy-duty, corrosion-resistant Grade 304 or 316 stainless steel rods (nominal 1/2-inch / 12.7 mm diameter).</w:t>
      </w:r>
    </w:p>
    <w:p w14:paraId="65C5A832"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Rigidly anchored to the superstructure using stainless steel channel strut supports (Unistrut-type or equivalent).</w:t>
      </w:r>
    </w:p>
    <w:p w14:paraId="6AD26ED6"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Assembled with adjustable stainless steel cross-lattice clamps providing modular grid spacing for securing distillation glassware and reaction vessels.</w:t>
      </w:r>
    </w:p>
    <w:p w14:paraId="25F2FE6E"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Acid Storage Cabinet Venting Kit:</w:t>
      </w:r>
    </w:p>
    <w:p w14:paraId="76179102"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Dedicated chemical-resistant (polypropylene/PVC) exhaust tubing and connection fittings to safely route corrosive vapors from the acid cabinet directly into the negative pressure zone of the fume hood.</w:t>
      </w:r>
    </w:p>
    <w:p w14:paraId="0122EBC6"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Rear Infill Panels (Fillers):</w:t>
      </w:r>
    </w:p>
    <w:p w14:paraId="33BBA9BA"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 Sheet steel infill panels finished in matching Bright White chemical-resistant powder coat to bridge the dimensional depth gap between the 22-inch deep base cabinets and the work surface, providing structural rear support and concealing utility lines.</w:t>
      </w:r>
    </w:p>
    <w:p w14:paraId="416B1126" w14:textId="77777777" w:rsidR="00E64D25" w:rsidRPr="00E64D25" w:rsidRDefault="00E64D25" w:rsidP="00E64D25">
      <w:pPr>
        <w:tabs>
          <w:tab w:val="left" w:pos="8244"/>
        </w:tabs>
        <w:rPr>
          <w:rFonts w:ascii="Times New Roman" w:hAnsi="Times New Roman" w:cs="Times New Roman"/>
        </w:rPr>
      </w:pPr>
    </w:p>
    <w:p w14:paraId="437DB635"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8. QUANTITY:</w:t>
      </w:r>
    </w:p>
    <w:p w14:paraId="48C3F7D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Total Quantity: One (1) Complete Integrated System.</w:t>
      </w:r>
    </w:p>
    <w:p w14:paraId="210855EA" w14:textId="77777777" w:rsidR="00E64D25" w:rsidRPr="00E64D25" w:rsidRDefault="00E64D25" w:rsidP="00E64D25">
      <w:pPr>
        <w:tabs>
          <w:tab w:val="left" w:pos="8244"/>
        </w:tabs>
        <w:rPr>
          <w:rFonts w:ascii="Times New Roman" w:hAnsi="Times New Roman" w:cs="Times New Roman"/>
        </w:rPr>
      </w:pPr>
    </w:p>
    <w:p w14:paraId="57D4C52D"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9. DELIVERY REQUIREMENTS:</w:t>
      </w:r>
    </w:p>
    <w:p w14:paraId="189D4104"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Delivery Scope: Inside Delivery &amp; Uncrating (FOB Destination).</w:t>
      </w:r>
    </w:p>
    <w:p w14:paraId="63D3FEF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Delivery Location: </w:t>
      </w:r>
    </w:p>
    <w:p w14:paraId="56E9DCCB"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Naval Research Laboratory (NRL)</w:t>
      </w:r>
    </w:p>
    <w:p w14:paraId="2EC172B1"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4555 Overlook Ave SW</w:t>
      </w:r>
    </w:p>
    <w:p w14:paraId="4E59BF0D" w14:textId="77777777" w:rsidR="00E64D25" w:rsidRPr="00E64D25" w:rsidRDefault="00E64D25" w:rsidP="00E64D25">
      <w:pPr>
        <w:tabs>
          <w:tab w:val="left" w:pos="8244"/>
        </w:tabs>
        <w:rPr>
          <w:rFonts w:ascii="Times New Roman" w:hAnsi="Times New Roman" w:cs="Times New Roman"/>
        </w:rPr>
      </w:pPr>
      <w:r w:rsidRPr="00E64D25">
        <w:rPr>
          <w:rFonts w:ascii="Times New Roman" w:hAnsi="Times New Roman" w:cs="Times New Roman"/>
        </w:rPr>
        <w:t xml:space="preserve">  Washington, DC 20375</w:t>
      </w:r>
    </w:p>
    <w:p w14:paraId="126666A1" w14:textId="77777777" w:rsidR="00E64D25" w:rsidRDefault="00E64D25" w:rsidP="00230A04">
      <w:pPr>
        <w:tabs>
          <w:tab w:val="left" w:pos="8250"/>
        </w:tabs>
        <w:rPr>
          <w:rFonts w:ascii="Times New Roman" w:hAnsi="Times New Roman" w:cs="Times New Roman"/>
        </w:rPr>
      </w:pPr>
    </w:p>
    <w:p w14:paraId="2E6C566B" w14:textId="5CF8C10F" w:rsidR="00BC0F6F" w:rsidRPr="00BC0F6F" w:rsidRDefault="00BC0F6F" w:rsidP="00BC0F6F">
      <w:pPr>
        <w:tabs>
          <w:tab w:val="left" w:pos="8244"/>
        </w:tabs>
        <w:rPr>
          <w:rFonts w:ascii="Times New Roman" w:hAnsi="Times New Roman" w:cs="Times New Roman"/>
        </w:rPr>
      </w:pPr>
      <w:r>
        <w:rPr>
          <w:rFonts w:ascii="Times New Roman" w:hAnsi="Times New Roman" w:cs="Times New Roman"/>
        </w:rPr>
        <w:t>10</w:t>
      </w:r>
      <w:r w:rsidRPr="00BC0F6F">
        <w:rPr>
          <w:rFonts w:ascii="Times New Roman" w:hAnsi="Times New Roman" w:cs="Times New Roman"/>
        </w:rPr>
        <w:t>. DELIVERY, TESTING, &amp; ACCEPTANCE REQUIREMENTS:</w:t>
      </w:r>
    </w:p>
    <w:p w14:paraId="0D3C1759"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Delivery Scope (Inside Delivery &amp; Rigging):</w:t>
      </w:r>
    </w:p>
    <w:p w14:paraId="555867F4"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lastRenderedPageBreak/>
        <w:t xml:space="preserve">  - Shipping terms shall be FOB Destination. The contractor is responsible for inside delivery, uncrating, and transporting all components (hood, work surface, base cabinets, and accessories) directly to the final installation site: Building A50, Room 117.</w:t>
      </w:r>
    </w:p>
    <w:p w14:paraId="3B98E571"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xml:space="preserve">  - The delivery contractor must provide all necessary material handling equipment (e.g., lift gates, pallet jacks, dollies) compatible with the building's corridors and elevator capacities.</w:t>
      </w:r>
    </w:p>
    <w:p w14:paraId="73A6E5CE"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Joint Inspection &amp; Unboxing:</w:t>
      </w:r>
    </w:p>
    <w:p w14:paraId="64CB1428"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xml:space="preserve">  - Immediately upon delivery to Room 117, a joint visual inspection of all items shall be conducted by the delivery team and the Government Technical Point of Contact (or designated on-site contractor) to verify there is no shipping damage (e.g., cracked glass, chipped epoxy, or dented metal) and that all parts are present before final freight sign-off.</w:t>
      </w:r>
    </w:p>
    <w:p w14:paraId="5DD13A57"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Post-Installation Safety Certification (ASHRAE 110):</w:t>
      </w:r>
    </w:p>
    <w:p w14:paraId="3EB80674"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xml:space="preserve">  - Once the on-site contractors have completed the physical mounting, ducting, and utility connections, the equipment provider/vendor must dispatch a qualified technician to perform an on-site face-velocity and containment certification test.</w:t>
      </w:r>
    </w:p>
    <w:p w14:paraId="34DC6ABB"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xml:space="preserve">  - Testing must be performed in accordance with ASHRAE 110-2016 standards.</w:t>
      </w:r>
    </w:p>
    <w:p w14:paraId="06F75291" w14:textId="77777777" w:rsidR="00BC0F6F" w:rsidRPr="00BC0F6F" w:rsidRDefault="00BC0F6F" w:rsidP="00BC0F6F">
      <w:pPr>
        <w:tabs>
          <w:tab w:val="left" w:pos="8244"/>
        </w:tabs>
        <w:rPr>
          <w:rFonts w:ascii="Times New Roman" w:hAnsi="Times New Roman" w:cs="Times New Roman"/>
        </w:rPr>
      </w:pPr>
      <w:r w:rsidRPr="00BC0F6F">
        <w:rPr>
          <w:rFonts w:ascii="Times New Roman" w:hAnsi="Times New Roman" w:cs="Times New Roman"/>
        </w:rPr>
        <w:t xml:space="preserve">  - The technician must verify the hood maintains an average face velocity of 100 feet per minute (FPM) +/- 10% at standard working sash height, and affix an official, dated certification sticker to the front pylon of the hood before the Government issues final technical acceptance.</w:t>
      </w:r>
    </w:p>
    <w:p w14:paraId="7722FCFB" w14:textId="77777777" w:rsidR="00BC0F6F" w:rsidRPr="008373FC" w:rsidRDefault="00BC0F6F" w:rsidP="00230A04">
      <w:pPr>
        <w:tabs>
          <w:tab w:val="left" w:pos="8250"/>
        </w:tabs>
        <w:rPr>
          <w:rFonts w:ascii="Times New Roman" w:hAnsi="Times New Roman" w:cs="Times New Roman"/>
        </w:rPr>
      </w:pPr>
    </w:p>
    <w:sectPr w:rsidR="00BC0F6F" w:rsidRPr="008373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3FC"/>
    <w:rsid w:val="00000CC2"/>
    <w:rsid w:val="0009486E"/>
    <w:rsid w:val="000F303A"/>
    <w:rsid w:val="00177679"/>
    <w:rsid w:val="001F1460"/>
    <w:rsid w:val="0022708F"/>
    <w:rsid w:val="00230A04"/>
    <w:rsid w:val="00241C38"/>
    <w:rsid w:val="002D0A82"/>
    <w:rsid w:val="003D3DAB"/>
    <w:rsid w:val="004222F4"/>
    <w:rsid w:val="00453963"/>
    <w:rsid w:val="004C2AE2"/>
    <w:rsid w:val="00533478"/>
    <w:rsid w:val="0057423B"/>
    <w:rsid w:val="00584869"/>
    <w:rsid w:val="00620570"/>
    <w:rsid w:val="00641F0F"/>
    <w:rsid w:val="00732783"/>
    <w:rsid w:val="007A47BD"/>
    <w:rsid w:val="007A5620"/>
    <w:rsid w:val="007B613E"/>
    <w:rsid w:val="008373FC"/>
    <w:rsid w:val="0084027D"/>
    <w:rsid w:val="0088018B"/>
    <w:rsid w:val="008F2D29"/>
    <w:rsid w:val="0091479E"/>
    <w:rsid w:val="009151B0"/>
    <w:rsid w:val="0092491F"/>
    <w:rsid w:val="009814BC"/>
    <w:rsid w:val="00A25404"/>
    <w:rsid w:val="00A94DF4"/>
    <w:rsid w:val="00A9678D"/>
    <w:rsid w:val="00AA2231"/>
    <w:rsid w:val="00B32DD9"/>
    <w:rsid w:val="00B64D7E"/>
    <w:rsid w:val="00B72976"/>
    <w:rsid w:val="00BC0F6F"/>
    <w:rsid w:val="00C83A4F"/>
    <w:rsid w:val="00DA113C"/>
    <w:rsid w:val="00DD06B8"/>
    <w:rsid w:val="00E14AF1"/>
    <w:rsid w:val="00E64D25"/>
    <w:rsid w:val="00EB4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E474"/>
  <w15:chartTrackingRefBased/>
  <w15:docId w15:val="{6586205F-A59B-4B0C-93BB-85F5733C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7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7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7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7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7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3FC"/>
    <w:rPr>
      <w:rFonts w:eastAsiaTheme="majorEastAsia" w:cstheme="majorBidi"/>
      <w:color w:val="272727" w:themeColor="text1" w:themeTint="D8"/>
    </w:rPr>
  </w:style>
  <w:style w:type="paragraph" w:styleId="Title">
    <w:name w:val="Title"/>
    <w:basedOn w:val="Normal"/>
    <w:next w:val="Normal"/>
    <w:link w:val="TitleChar"/>
    <w:uiPriority w:val="10"/>
    <w:qFormat/>
    <w:rsid w:val="00837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3FC"/>
    <w:pPr>
      <w:spacing w:before="160"/>
      <w:jc w:val="center"/>
    </w:pPr>
    <w:rPr>
      <w:i/>
      <w:iCs/>
      <w:color w:val="404040" w:themeColor="text1" w:themeTint="BF"/>
    </w:rPr>
  </w:style>
  <w:style w:type="character" w:customStyle="1" w:styleId="QuoteChar">
    <w:name w:val="Quote Char"/>
    <w:basedOn w:val="DefaultParagraphFont"/>
    <w:link w:val="Quote"/>
    <w:uiPriority w:val="29"/>
    <w:rsid w:val="008373FC"/>
    <w:rPr>
      <w:i/>
      <w:iCs/>
      <w:color w:val="404040" w:themeColor="text1" w:themeTint="BF"/>
    </w:rPr>
  </w:style>
  <w:style w:type="paragraph" w:styleId="ListParagraph">
    <w:name w:val="List Paragraph"/>
    <w:basedOn w:val="Normal"/>
    <w:uiPriority w:val="34"/>
    <w:qFormat/>
    <w:rsid w:val="008373FC"/>
    <w:pPr>
      <w:ind w:left="720"/>
      <w:contextualSpacing/>
    </w:pPr>
  </w:style>
  <w:style w:type="character" w:styleId="IntenseEmphasis">
    <w:name w:val="Intense Emphasis"/>
    <w:basedOn w:val="DefaultParagraphFont"/>
    <w:uiPriority w:val="21"/>
    <w:qFormat/>
    <w:rsid w:val="008373FC"/>
    <w:rPr>
      <w:i/>
      <w:iCs/>
      <w:color w:val="0F4761" w:themeColor="accent1" w:themeShade="BF"/>
    </w:rPr>
  </w:style>
  <w:style w:type="paragraph" w:styleId="IntenseQuote">
    <w:name w:val="Intense Quote"/>
    <w:basedOn w:val="Normal"/>
    <w:next w:val="Normal"/>
    <w:link w:val="IntenseQuoteChar"/>
    <w:uiPriority w:val="30"/>
    <w:qFormat/>
    <w:rsid w:val="00837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73FC"/>
    <w:rPr>
      <w:i/>
      <w:iCs/>
      <w:color w:val="0F4761" w:themeColor="accent1" w:themeShade="BF"/>
    </w:rPr>
  </w:style>
  <w:style w:type="character" w:styleId="IntenseReference">
    <w:name w:val="Intense Reference"/>
    <w:basedOn w:val="DefaultParagraphFont"/>
    <w:uiPriority w:val="32"/>
    <w:qFormat/>
    <w:rsid w:val="008373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27ac744-d744-4b94-baa9-948b89b4017a}" enabled="1" method="Standar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Normal.dotm</Template>
  <TotalTime>221</TotalTime>
  <Pages>5</Pages>
  <Words>1216</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U.S. Department of Defense</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Susumu, Kimihiro CIV USN NRL WASHINGTON DC (USA)</dc:creator>
  <cp:keywords/>
  <dc:description/>
  <cp:lastModifiedBy>Cawley, Carrie A CIV USN NRL WASHINGTON DC (USA)</cp:lastModifiedBy>
  <cp:revision>41</cp:revision>
  <dcterms:created xsi:type="dcterms:W3CDTF">2026-09-21T21:07:00Z</dcterms:created>
  <dcterms:modified xsi:type="dcterms:W3CDTF">2026-09-23T14:37:00Z</dcterms:modified>
</cp:coreProperties>
</file>