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2B829" w14:textId="77777777" w:rsidR="00EF0184" w:rsidRPr="000A129B" w:rsidRDefault="00EF0184" w:rsidP="00EF0184">
      <w:pPr>
        <w:jc w:val="center"/>
        <w:rPr>
          <w:b/>
        </w:rPr>
      </w:pPr>
      <w:r>
        <w:rPr>
          <w:b/>
        </w:rPr>
        <w:t>AMENDMENT 6 TO BAA FA8750-23-S-7009</w:t>
      </w:r>
    </w:p>
    <w:p w14:paraId="192FEE57" w14:textId="77777777" w:rsidR="00EF0184" w:rsidRPr="000A129B" w:rsidRDefault="00EF0184" w:rsidP="00EF0184"/>
    <w:p w14:paraId="5ED73361" w14:textId="77777777" w:rsidR="00EF0184" w:rsidRPr="00D424C7" w:rsidRDefault="00EF0184" w:rsidP="00EF0184">
      <w:pPr>
        <w:jc w:val="center"/>
      </w:pPr>
      <w:r w:rsidRPr="00D424C7">
        <w:t xml:space="preserve">The purpose of this modification is to republish the original announcement, incorporating any previous amendments, pursuant to FAR 35.016(c). </w:t>
      </w:r>
    </w:p>
    <w:p w14:paraId="00DAFDCA" w14:textId="77777777" w:rsidR="00EF0184" w:rsidRPr="00D424C7" w:rsidRDefault="00EF0184" w:rsidP="00EF0184"/>
    <w:p w14:paraId="6C46D0EC" w14:textId="77777777" w:rsidR="00EF0184" w:rsidRDefault="00EF0184" w:rsidP="00EF0184">
      <w:r w:rsidRPr="00CB368B">
        <w:t xml:space="preserve">This republishing also includes the following changes: </w:t>
      </w:r>
    </w:p>
    <w:p w14:paraId="1B8CA3BA" w14:textId="77777777" w:rsidR="004F382D" w:rsidRPr="00CB368B" w:rsidRDefault="004F382D" w:rsidP="00EF0184"/>
    <w:p w14:paraId="73C9E3D2" w14:textId="19C339F1" w:rsidR="00EF0184" w:rsidRDefault="004F382D" w:rsidP="004F382D">
      <w:pPr>
        <w:pStyle w:val="ListParagraph"/>
        <w:numPr>
          <w:ilvl w:val="0"/>
          <w:numId w:val="61"/>
        </w:numPr>
      </w:pPr>
      <w:r>
        <w:t>Part I; Overview Information:</w:t>
      </w:r>
    </w:p>
    <w:p w14:paraId="1D9F870B" w14:textId="2C9BE90E" w:rsidR="004F382D" w:rsidRPr="00C81098" w:rsidRDefault="004F382D" w:rsidP="004F382D">
      <w:pPr>
        <w:pStyle w:val="ListParagraph"/>
        <w:numPr>
          <w:ilvl w:val="1"/>
          <w:numId w:val="61"/>
        </w:numPr>
      </w:pPr>
      <w:r>
        <w:t xml:space="preserve">Removes Claire Parisi as a </w:t>
      </w:r>
      <w:proofErr w:type="gramStart"/>
      <w:r>
        <w:t>TPOC;</w:t>
      </w:r>
      <w:proofErr w:type="gramEnd"/>
    </w:p>
    <w:p w14:paraId="2335DEDC" w14:textId="77777777" w:rsidR="00EF0184" w:rsidRPr="00C81098" w:rsidRDefault="00EF0184" w:rsidP="00EF0184">
      <w:pPr>
        <w:pStyle w:val="ListParagraph"/>
        <w:spacing w:after="160" w:line="252" w:lineRule="auto"/>
        <w:ind w:left="1440"/>
      </w:pPr>
    </w:p>
    <w:p w14:paraId="64B3633B" w14:textId="77777777" w:rsidR="00EF0184" w:rsidRPr="00C81098" w:rsidRDefault="00EF0184" w:rsidP="00EF0184">
      <w:pPr>
        <w:pStyle w:val="ListParagraph"/>
        <w:numPr>
          <w:ilvl w:val="0"/>
          <w:numId w:val="61"/>
        </w:numPr>
        <w:spacing w:after="160" w:line="252" w:lineRule="auto"/>
      </w:pPr>
      <w:r w:rsidRPr="00C81098">
        <w:t>Part II, Full Text Announcement:</w:t>
      </w:r>
    </w:p>
    <w:p w14:paraId="50F2A8F2" w14:textId="77777777" w:rsidR="00EF0184" w:rsidRPr="00646B54" w:rsidRDefault="00EF0184" w:rsidP="00EF0184">
      <w:pPr>
        <w:pStyle w:val="ListParagraph"/>
        <w:numPr>
          <w:ilvl w:val="1"/>
          <w:numId w:val="61"/>
        </w:numPr>
        <w:spacing w:after="160" w:line="252" w:lineRule="auto"/>
        <w:rPr>
          <w:color w:val="000000" w:themeColor="text1"/>
        </w:rPr>
      </w:pPr>
      <w:r w:rsidRPr="00646B54">
        <w:rPr>
          <w:color w:val="000000" w:themeColor="text1"/>
        </w:rPr>
        <w:t xml:space="preserve">Section </w:t>
      </w:r>
      <w:proofErr w:type="gramStart"/>
      <w:r w:rsidRPr="00646B54">
        <w:rPr>
          <w:color w:val="000000" w:themeColor="text1"/>
        </w:rPr>
        <w:t>III.2.b</w:t>
      </w:r>
      <w:proofErr w:type="gramEnd"/>
      <w:r w:rsidRPr="00646B54">
        <w:rPr>
          <w:color w:val="000000" w:themeColor="text1"/>
        </w:rPr>
        <w:t xml:space="preserve">.2, updates the FOCI </w:t>
      </w:r>
      <w:proofErr w:type="gramStart"/>
      <w:r w:rsidRPr="00646B54">
        <w:rPr>
          <w:color w:val="000000" w:themeColor="text1"/>
        </w:rPr>
        <w:t>guidance;</w:t>
      </w:r>
      <w:proofErr w:type="gramEnd"/>
    </w:p>
    <w:p w14:paraId="084835F1" w14:textId="77777777" w:rsidR="00EF0184" w:rsidRPr="00646B54" w:rsidRDefault="00EF0184" w:rsidP="00EF0184">
      <w:pPr>
        <w:pStyle w:val="ListParagraph"/>
        <w:numPr>
          <w:ilvl w:val="1"/>
          <w:numId w:val="61"/>
        </w:numPr>
        <w:spacing w:after="160" w:line="252" w:lineRule="auto"/>
        <w:rPr>
          <w:color w:val="000000" w:themeColor="text1"/>
        </w:rPr>
      </w:pPr>
      <w:r w:rsidRPr="00646B54">
        <w:rPr>
          <w:color w:val="000000" w:themeColor="text1"/>
        </w:rPr>
        <w:t xml:space="preserve">Section IV.4.b, updates the provision </w:t>
      </w:r>
      <w:proofErr w:type="gramStart"/>
      <w:r w:rsidRPr="00646B54">
        <w:rPr>
          <w:color w:val="000000" w:themeColor="text1"/>
        </w:rPr>
        <w:t>date;</w:t>
      </w:r>
      <w:proofErr w:type="gramEnd"/>
    </w:p>
    <w:p w14:paraId="554A12DA" w14:textId="77777777" w:rsidR="00EF0184" w:rsidRPr="00646B54" w:rsidRDefault="00EF0184" w:rsidP="00EF0184">
      <w:pPr>
        <w:pStyle w:val="ListParagraph"/>
        <w:numPr>
          <w:ilvl w:val="1"/>
          <w:numId w:val="61"/>
        </w:numPr>
        <w:spacing w:after="160" w:line="252" w:lineRule="auto"/>
        <w:rPr>
          <w:color w:val="000000" w:themeColor="text1"/>
        </w:rPr>
      </w:pPr>
      <w:r w:rsidRPr="00646B54">
        <w:rPr>
          <w:color w:val="000000" w:themeColor="text1"/>
        </w:rPr>
        <w:t xml:space="preserve">Section IV.4.e, adds language regarding </w:t>
      </w:r>
      <w:proofErr w:type="gramStart"/>
      <w:r w:rsidRPr="00646B54">
        <w:rPr>
          <w:color w:val="000000" w:themeColor="text1"/>
        </w:rPr>
        <w:t>OTs;</w:t>
      </w:r>
      <w:proofErr w:type="gramEnd"/>
    </w:p>
    <w:p w14:paraId="15C206CC" w14:textId="77777777" w:rsidR="00EF0184" w:rsidRPr="00646B54" w:rsidRDefault="00EF0184" w:rsidP="00EF0184">
      <w:pPr>
        <w:pStyle w:val="ListParagraph"/>
        <w:numPr>
          <w:ilvl w:val="1"/>
          <w:numId w:val="61"/>
        </w:numPr>
        <w:spacing w:after="160" w:line="252" w:lineRule="auto"/>
        <w:rPr>
          <w:color w:val="000000" w:themeColor="text1"/>
        </w:rPr>
      </w:pPr>
      <w:r w:rsidRPr="00646B54">
        <w:rPr>
          <w:color w:val="000000" w:themeColor="text1"/>
        </w:rPr>
        <w:t xml:space="preserve">Section V.2.b.2.e; corrects numbering and updates paragraph e </w:t>
      </w:r>
      <w:proofErr w:type="gramStart"/>
      <w:r w:rsidRPr="00646B54">
        <w:rPr>
          <w:color w:val="000000" w:themeColor="text1"/>
        </w:rPr>
        <w:t>language;</w:t>
      </w:r>
      <w:proofErr w:type="gramEnd"/>
    </w:p>
    <w:p w14:paraId="4F8B6C2B" w14:textId="77777777" w:rsidR="00EF0184" w:rsidRPr="00DD7B7C" w:rsidRDefault="00EF0184" w:rsidP="00EF0184">
      <w:pPr>
        <w:pStyle w:val="ListParagraph"/>
        <w:numPr>
          <w:ilvl w:val="1"/>
          <w:numId w:val="61"/>
        </w:numPr>
        <w:spacing w:after="160" w:line="252" w:lineRule="auto"/>
        <w:rPr>
          <w:color w:val="000000" w:themeColor="text1"/>
        </w:rPr>
      </w:pPr>
      <w:r w:rsidRPr="00DD7B7C">
        <w:rPr>
          <w:color w:val="000000" w:themeColor="text1"/>
        </w:rPr>
        <w:t xml:space="preserve">Section V.4; updates the </w:t>
      </w:r>
      <w:proofErr w:type="gramStart"/>
      <w:r w:rsidRPr="00DD7B7C">
        <w:rPr>
          <w:color w:val="000000" w:themeColor="text1"/>
        </w:rPr>
        <w:t>thresholds;</w:t>
      </w:r>
      <w:proofErr w:type="gramEnd"/>
    </w:p>
    <w:p w14:paraId="32C17FF8" w14:textId="77777777" w:rsidR="00EF0184" w:rsidRPr="00DD7B7C" w:rsidRDefault="00EF0184" w:rsidP="00EF0184">
      <w:pPr>
        <w:pStyle w:val="ListParagraph"/>
        <w:numPr>
          <w:ilvl w:val="1"/>
          <w:numId w:val="61"/>
        </w:numPr>
        <w:spacing w:after="160" w:line="252" w:lineRule="auto"/>
        <w:rPr>
          <w:color w:val="000000" w:themeColor="text1"/>
        </w:rPr>
      </w:pPr>
      <w:r w:rsidRPr="00DD7B7C">
        <w:rPr>
          <w:color w:val="000000" w:themeColor="text1"/>
        </w:rPr>
        <w:t xml:space="preserve">Section VI.1, updates proposal formatting </w:t>
      </w:r>
      <w:proofErr w:type="gramStart"/>
      <w:r w:rsidRPr="00DD7B7C">
        <w:rPr>
          <w:color w:val="000000" w:themeColor="text1"/>
        </w:rPr>
        <w:t>language;</w:t>
      </w:r>
      <w:proofErr w:type="gramEnd"/>
    </w:p>
    <w:p w14:paraId="44571879" w14:textId="77777777" w:rsidR="00EF0184" w:rsidRPr="00DD7B7C" w:rsidRDefault="00EF0184" w:rsidP="00EF0184">
      <w:pPr>
        <w:pStyle w:val="ListParagraph"/>
        <w:numPr>
          <w:ilvl w:val="1"/>
          <w:numId w:val="61"/>
        </w:numPr>
        <w:spacing w:after="160" w:line="252" w:lineRule="auto"/>
        <w:rPr>
          <w:color w:val="000000" w:themeColor="text1"/>
        </w:rPr>
      </w:pPr>
      <w:r w:rsidRPr="00DD7B7C">
        <w:rPr>
          <w:color w:val="000000" w:themeColor="text1"/>
        </w:rPr>
        <w:t>Section VI.</w:t>
      </w:r>
      <w:proofErr w:type="gramStart"/>
      <w:r w:rsidRPr="00DD7B7C">
        <w:rPr>
          <w:color w:val="000000" w:themeColor="text1"/>
        </w:rPr>
        <w:t>7,</w:t>
      </w:r>
      <w:proofErr w:type="gramEnd"/>
      <w:r w:rsidRPr="00DD7B7C">
        <w:rPr>
          <w:color w:val="000000" w:themeColor="text1"/>
        </w:rPr>
        <w:t xml:space="preserve"> updates the </w:t>
      </w:r>
      <w:proofErr w:type="gramStart"/>
      <w:r w:rsidRPr="00DD7B7C">
        <w:rPr>
          <w:color w:val="000000" w:themeColor="text1"/>
        </w:rPr>
        <w:t>provisions;</w:t>
      </w:r>
      <w:proofErr w:type="gramEnd"/>
    </w:p>
    <w:p w14:paraId="5C52A974" w14:textId="60FC2F13" w:rsidR="00EF0184" w:rsidRPr="00DD7B7C" w:rsidRDefault="00EF0184" w:rsidP="00EF0184">
      <w:pPr>
        <w:pStyle w:val="ListParagraph"/>
        <w:numPr>
          <w:ilvl w:val="1"/>
          <w:numId w:val="61"/>
        </w:numPr>
        <w:spacing w:after="160" w:line="252" w:lineRule="auto"/>
        <w:rPr>
          <w:color w:val="000000" w:themeColor="text1"/>
        </w:rPr>
      </w:pPr>
      <w:r w:rsidRPr="00DD7B7C">
        <w:rPr>
          <w:color w:val="000000" w:themeColor="text1"/>
        </w:rPr>
        <w:t xml:space="preserve">Section VI; adds paragraph </w:t>
      </w:r>
      <w:proofErr w:type="gramStart"/>
      <w:r w:rsidRPr="00DD7B7C">
        <w:rPr>
          <w:color w:val="000000" w:themeColor="text1"/>
        </w:rPr>
        <w:t>10</w:t>
      </w:r>
      <w:r w:rsidR="004F382D">
        <w:rPr>
          <w:color w:val="000000" w:themeColor="text1"/>
        </w:rPr>
        <w:t>;</w:t>
      </w:r>
      <w:proofErr w:type="gramEnd"/>
    </w:p>
    <w:p w14:paraId="6A3BBCA0" w14:textId="621AF919" w:rsidR="00EF0184" w:rsidRDefault="00EF0184" w:rsidP="00EF0184">
      <w:pPr>
        <w:pStyle w:val="ListParagraph"/>
        <w:numPr>
          <w:ilvl w:val="1"/>
          <w:numId w:val="61"/>
        </w:numPr>
        <w:spacing w:after="160" w:line="252" w:lineRule="auto"/>
        <w:rPr>
          <w:color w:val="000000" w:themeColor="text1"/>
        </w:rPr>
      </w:pPr>
      <w:r w:rsidRPr="00DD7B7C">
        <w:rPr>
          <w:color w:val="000000" w:themeColor="text1"/>
        </w:rPr>
        <w:t xml:space="preserve">Section </w:t>
      </w:r>
      <w:proofErr w:type="gramStart"/>
      <w:r w:rsidRPr="00DD7B7C">
        <w:rPr>
          <w:color w:val="000000" w:themeColor="text1"/>
        </w:rPr>
        <w:t>VI,</w:t>
      </w:r>
      <w:proofErr w:type="gramEnd"/>
      <w:r w:rsidRPr="00DD7B7C">
        <w:rPr>
          <w:color w:val="000000" w:themeColor="text1"/>
        </w:rPr>
        <w:t xml:space="preserve"> deletes paragraph </w:t>
      </w:r>
      <w:proofErr w:type="gramStart"/>
      <w:r w:rsidRPr="00DD7B7C">
        <w:rPr>
          <w:color w:val="000000" w:themeColor="text1"/>
        </w:rPr>
        <w:t>12</w:t>
      </w:r>
      <w:r w:rsidR="004F382D">
        <w:rPr>
          <w:color w:val="000000" w:themeColor="text1"/>
        </w:rPr>
        <w:t>;</w:t>
      </w:r>
      <w:proofErr w:type="gramEnd"/>
    </w:p>
    <w:p w14:paraId="1EBE68ED" w14:textId="4EC7C5CD" w:rsidR="004F382D" w:rsidRPr="00DD7B7C" w:rsidRDefault="004F382D" w:rsidP="00EF0184">
      <w:pPr>
        <w:pStyle w:val="ListParagraph"/>
        <w:numPr>
          <w:ilvl w:val="1"/>
          <w:numId w:val="61"/>
        </w:numPr>
        <w:spacing w:after="160" w:line="252" w:lineRule="auto"/>
        <w:rPr>
          <w:color w:val="000000" w:themeColor="text1"/>
        </w:rPr>
      </w:pPr>
      <w:r>
        <w:rPr>
          <w:color w:val="000000" w:themeColor="text1"/>
        </w:rPr>
        <w:t xml:space="preserve">Section VII, removes Claire Parisi as a </w:t>
      </w:r>
      <w:proofErr w:type="gramStart"/>
      <w:r>
        <w:rPr>
          <w:color w:val="000000" w:themeColor="text1"/>
        </w:rPr>
        <w:t>TPOC;</w:t>
      </w:r>
      <w:proofErr w:type="gramEnd"/>
    </w:p>
    <w:p w14:paraId="10C03F23" w14:textId="77777777" w:rsidR="00EF0184" w:rsidRDefault="00EF0184" w:rsidP="00EF0184">
      <w:pPr>
        <w:pStyle w:val="ListParagraph"/>
        <w:numPr>
          <w:ilvl w:val="1"/>
          <w:numId w:val="61"/>
        </w:numPr>
        <w:spacing w:after="160" w:line="252" w:lineRule="auto"/>
        <w:rPr>
          <w:color w:val="000000" w:themeColor="text1"/>
        </w:rPr>
      </w:pPr>
      <w:r w:rsidRPr="00DD7B7C">
        <w:rPr>
          <w:color w:val="000000" w:themeColor="text1"/>
        </w:rPr>
        <w:t>Section VII: updates the OMBUDSMAN.</w:t>
      </w:r>
    </w:p>
    <w:p w14:paraId="0ECAE8E1" w14:textId="5909A102" w:rsidR="00EF0184" w:rsidRPr="00EF0184" w:rsidRDefault="00EF0184" w:rsidP="00EF0184">
      <w:pPr>
        <w:spacing w:after="160" w:line="252" w:lineRule="auto"/>
        <w:rPr>
          <w:b/>
          <w:bCs/>
          <w:color w:val="000000" w:themeColor="text1"/>
        </w:rPr>
      </w:pPr>
      <w:r w:rsidRPr="00EF0184">
        <w:rPr>
          <w:b/>
          <w:bCs/>
          <w:color w:val="000000" w:themeColor="text1"/>
        </w:rPr>
        <w:t xml:space="preserve">No other changes are made. </w:t>
      </w:r>
    </w:p>
    <w:p w14:paraId="7A6161FF" w14:textId="77777777" w:rsidR="00EF0184" w:rsidRPr="00EF0184" w:rsidRDefault="00EF0184" w:rsidP="00EF0184">
      <w:pPr>
        <w:spacing w:after="160" w:line="252" w:lineRule="auto"/>
        <w:rPr>
          <w:color w:val="000000" w:themeColor="text1"/>
        </w:rPr>
      </w:pPr>
    </w:p>
    <w:p w14:paraId="6FBE2457" w14:textId="77777777" w:rsidR="00EB4851" w:rsidRPr="00D95F5B" w:rsidRDefault="00EB4851" w:rsidP="00EB4851">
      <w:r w:rsidRPr="00D95F5B">
        <w:t>NAICS CODE</w:t>
      </w:r>
      <w:proofErr w:type="gramStart"/>
      <w:r w:rsidRPr="00D95F5B">
        <w:t>:  54171</w:t>
      </w:r>
      <w:r>
        <w:t>5</w:t>
      </w:r>
      <w:proofErr w:type="gramEnd"/>
    </w:p>
    <w:p w14:paraId="6C8501EF" w14:textId="77777777" w:rsidR="00EB4851" w:rsidRPr="00D95F5B" w:rsidRDefault="00EB4851" w:rsidP="00EB4851"/>
    <w:p w14:paraId="45A8100E" w14:textId="77777777" w:rsidR="00EB4851" w:rsidRPr="00D95F5B" w:rsidRDefault="00EB4851" w:rsidP="00EB4851">
      <w:r w:rsidRPr="00D95F5B">
        <w:t>FEDERAL AGENCY NAME: Department of the Air Force, Air Force Materiel Command, AFRL - Rome Research Site, AFRL/Information Directorate, 26 Electronic Parkway, Rome, NY, 13441-4514</w:t>
      </w:r>
    </w:p>
    <w:p w14:paraId="5B7CC805" w14:textId="77777777" w:rsidR="00EB4851" w:rsidRPr="00D95F5B" w:rsidRDefault="00EB4851" w:rsidP="00EB4851"/>
    <w:p w14:paraId="5D1246F9" w14:textId="50D5EA84" w:rsidR="00EB4851" w:rsidRPr="00D95F5B" w:rsidRDefault="00EB4851" w:rsidP="00EB4851">
      <w:r>
        <w:t xml:space="preserve">BAA ANNOUNCEMENT TYPE:  </w:t>
      </w:r>
      <w:r w:rsidR="00A96BEE" w:rsidRPr="00A96BEE">
        <w:rPr>
          <w:b/>
          <w:bCs/>
        </w:rPr>
        <w:t>Modification</w:t>
      </w:r>
    </w:p>
    <w:p w14:paraId="2139B286" w14:textId="77777777" w:rsidR="00EB4851" w:rsidRPr="00D95F5B" w:rsidRDefault="00EB4851" w:rsidP="00EB4851">
      <w:pPr>
        <w:rPr>
          <w:b/>
        </w:rPr>
      </w:pPr>
    </w:p>
    <w:p w14:paraId="3D828005" w14:textId="5F7E719F" w:rsidR="00EB4851" w:rsidRPr="00D95F5B" w:rsidRDefault="00EB4851" w:rsidP="00EB4851">
      <w:r>
        <w:t xml:space="preserve">BROAD AGENCY ANNOUNCEMENT (BAA) TITLE: </w:t>
      </w:r>
      <w:r w:rsidR="692A15E5">
        <w:t>Ultra-broadband Terahertz Radio Development</w:t>
      </w:r>
      <w:r w:rsidR="2099A255">
        <w:t xml:space="preserve"> </w:t>
      </w:r>
      <w:r>
        <w:t xml:space="preserve">                                                                                       </w:t>
      </w:r>
    </w:p>
    <w:p w14:paraId="4BB92324" w14:textId="46E6AF56" w:rsidR="17111FF4" w:rsidRDefault="3DB90924" w:rsidP="637A3414">
      <w:pPr>
        <w:rPr>
          <w:i/>
          <w:iCs/>
          <w:highlight w:val="yellow"/>
        </w:rPr>
      </w:pPr>
      <w:r>
        <w:t>BAA NUMBER:</w:t>
      </w:r>
      <w:r w:rsidR="40DFD6B8">
        <w:t xml:space="preserve"> FA8750-23-S-7009</w:t>
      </w:r>
    </w:p>
    <w:p w14:paraId="4C06ABE5" w14:textId="77777777" w:rsidR="00EB4851" w:rsidRPr="00D95F5B" w:rsidRDefault="00EB4851" w:rsidP="00EB4851">
      <w:pPr>
        <w:rPr>
          <w:b/>
        </w:rPr>
      </w:pPr>
    </w:p>
    <w:p w14:paraId="36FD3C9F" w14:textId="77777777" w:rsidR="00EB4851" w:rsidRPr="00D95F5B" w:rsidRDefault="00EB4851" w:rsidP="00EB4851">
      <w:pPr>
        <w:rPr>
          <w:b/>
        </w:rPr>
      </w:pPr>
      <w:r w:rsidRPr="00D95F5B">
        <w:rPr>
          <w:b/>
        </w:rPr>
        <w:t>PART I – OVERVIEW INFORMATION</w:t>
      </w:r>
    </w:p>
    <w:p w14:paraId="2C0B5DBB" w14:textId="77777777" w:rsidR="00EB4851" w:rsidRPr="00D95F5B" w:rsidRDefault="00EB4851" w:rsidP="00EB4851"/>
    <w:p w14:paraId="4B178ABA" w14:textId="518436F3" w:rsidR="00EB4851" w:rsidRPr="00D95F5B" w:rsidRDefault="4C107821" w:rsidP="00EB4851">
      <w:r>
        <w:t xml:space="preserve">This announcement is for an Open, 2 Step BAA which is open and effective until </w:t>
      </w:r>
      <w:r w:rsidR="005D539E">
        <w:t>1</w:t>
      </w:r>
      <w:r w:rsidR="25CDDD11">
        <w:t>9</w:t>
      </w:r>
      <w:r>
        <w:t xml:space="preserve"> Sep 20</w:t>
      </w:r>
      <w:r w:rsidR="37960D20">
        <w:t>28</w:t>
      </w:r>
      <w:r>
        <w:t xml:space="preserve">.  </w:t>
      </w:r>
      <w:r w:rsidRPr="637A3414">
        <w:rPr>
          <w:color w:val="000000" w:themeColor="text1"/>
        </w:rPr>
        <w:t xml:space="preserve">Only white papers will be accepted as initial submissions; formal proposals will be accepted by invitation only.  </w:t>
      </w:r>
      <w:r>
        <w:t xml:space="preserve">While white papers will be considered if received prior to </w:t>
      </w:r>
      <w:r w:rsidR="15D83D61">
        <w:t>1700</w:t>
      </w:r>
      <w:r>
        <w:t xml:space="preserve"> Eastern Standard Time (EST) on </w:t>
      </w:r>
      <w:r w:rsidR="005D539E">
        <w:t>1</w:t>
      </w:r>
      <w:r w:rsidR="1081F8BF">
        <w:t xml:space="preserve">9 </w:t>
      </w:r>
      <w:r>
        <w:t>Sep 20</w:t>
      </w:r>
      <w:r w:rsidR="345245CA">
        <w:t>28</w:t>
      </w:r>
      <w:r>
        <w:t>, the following submission dates are suggested to best align with projected funding:</w:t>
      </w:r>
    </w:p>
    <w:p w14:paraId="6131D976" w14:textId="77777777" w:rsidR="00EB4851" w:rsidRPr="00D95F5B" w:rsidRDefault="00EB4851" w:rsidP="00EB4851"/>
    <w:p w14:paraId="5070602E" w14:textId="4A248777" w:rsidR="00EB4851" w:rsidRPr="00D95F5B" w:rsidRDefault="4C107821" w:rsidP="637A3414">
      <w:pPr>
        <w:rPr>
          <w:i/>
          <w:iCs/>
        </w:rPr>
      </w:pPr>
      <w:r w:rsidRPr="637A3414">
        <w:rPr>
          <w:i/>
          <w:iCs/>
        </w:rPr>
        <w:t>FY</w:t>
      </w:r>
      <w:r w:rsidR="0D472CBD" w:rsidRPr="637A3414">
        <w:rPr>
          <w:i/>
          <w:iCs/>
        </w:rPr>
        <w:t>24</w:t>
      </w:r>
      <w:r w:rsidRPr="637A3414">
        <w:rPr>
          <w:i/>
          <w:iCs/>
        </w:rPr>
        <w:t xml:space="preserve"> by </w:t>
      </w:r>
      <w:r w:rsidR="50387915" w:rsidRPr="637A3414">
        <w:rPr>
          <w:i/>
          <w:iCs/>
        </w:rPr>
        <w:t>15</w:t>
      </w:r>
      <w:r w:rsidR="06547A85" w:rsidRPr="637A3414">
        <w:rPr>
          <w:i/>
          <w:iCs/>
        </w:rPr>
        <w:t xml:space="preserve"> Dec 2023</w:t>
      </w:r>
    </w:p>
    <w:p w14:paraId="02269629" w14:textId="7F68AA3E" w:rsidR="00EB4851" w:rsidRPr="00D95F5B" w:rsidRDefault="4C107821" w:rsidP="637A3414">
      <w:pPr>
        <w:rPr>
          <w:i/>
          <w:iCs/>
        </w:rPr>
      </w:pPr>
      <w:r w:rsidRPr="637A3414">
        <w:rPr>
          <w:i/>
          <w:iCs/>
        </w:rPr>
        <w:t>FY</w:t>
      </w:r>
      <w:r w:rsidR="0F342C6B" w:rsidRPr="637A3414">
        <w:rPr>
          <w:i/>
          <w:iCs/>
        </w:rPr>
        <w:t>25</w:t>
      </w:r>
      <w:r w:rsidRPr="637A3414">
        <w:rPr>
          <w:i/>
          <w:iCs/>
        </w:rPr>
        <w:t xml:space="preserve"> by </w:t>
      </w:r>
      <w:r w:rsidR="08891AA8" w:rsidRPr="637A3414">
        <w:rPr>
          <w:i/>
          <w:iCs/>
        </w:rPr>
        <w:t>20 Sep 2024</w:t>
      </w:r>
    </w:p>
    <w:p w14:paraId="1D5B6762" w14:textId="0B288981" w:rsidR="00EB4851" w:rsidRPr="00D95F5B" w:rsidRDefault="4C107821" w:rsidP="637A3414">
      <w:pPr>
        <w:rPr>
          <w:i/>
          <w:iCs/>
        </w:rPr>
      </w:pPr>
      <w:r w:rsidRPr="637A3414">
        <w:rPr>
          <w:i/>
          <w:iCs/>
        </w:rPr>
        <w:t>FY</w:t>
      </w:r>
      <w:r w:rsidR="01E4A526" w:rsidRPr="637A3414">
        <w:rPr>
          <w:i/>
          <w:iCs/>
        </w:rPr>
        <w:t>26</w:t>
      </w:r>
      <w:r w:rsidRPr="637A3414">
        <w:rPr>
          <w:i/>
          <w:iCs/>
        </w:rPr>
        <w:t xml:space="preserve"> by </w:t>
      </w:r>
      <w:r w:rsidR="02462A7E" w:rsidRPr="637A3414">
        <w:rPr>
          <w:i/>
          <w:iCs/>
        </w:rPr>
        <w:t>19 Sep 2025</w:t>
      </w:r>
    </w:p>
    <w:p w14:paraId="5699CED4" w14:textId="1E837E81" w:rsidR="00EB4851" w:rsidRPr="00D95F5B" w:rsidRDefault="4C107821" w:rsidP="637A3414">
      <w:pPr>
        <w:rPr>
          <w:i/>
          <w:iCs/>
        </w:rPr>
      </w:pPr>
      <w:r w:rsidRPr="637A3414">
        <w:rPr>
          <w:i/>
          <w:iCs/>
        </w:rPr>
        <w:t>FY</w:t>
      </w:r>
      <w:r w:rsidR="4C66FC7C" w:rsidRPr="637A3414">
        <w:rPr>
          <w:i/>
          <w:iCs/>
        </w:rPr>
        <w:t>27</w:t>
      </w:r>
      <w:r w:rsidRPr="637A3414">
        <w:rPr>
          <w:i/>
          <w:iCs/>
        </w:rPr>
        <w:t xml:space="preserve"> by </w:t>
      </w:r>
      <w:r w:rsidR="094E0273" w:rsidRPr="637A3414">
        <w:rPr>
          <w:i/>
          <w:iCs/>
        </w:rPr>
        <w:t>18 Sep 2026</w:t>
      </w:r>
    </w:p>
    <w:p w14:paraId="65A07CA5" w14:textId="3FBA6188" w:rsidR="00EB4851" w:rsidRPr="00D95F5B" w:rsidRDefault="4C107821" w:rsidP="637A3414">
      <w:pPr>
        <w:rPr>
          <w:i/>
          <w:iCs/>
        </w:rPr>
      </w:pPr>
      <w:r w:rsidRPr="637A3414">
        <w:rPr>
          <w:i/>
          <w:iCs/>
        </w:rPr>
        <w:t>FY</w:t>
      </w:r>
      <w:r w:rsidR="2E49E57C" w:rsidRPr="637A3414">
        <w:rPr>
          <w:i/>
          <w:iCs/>
        </w:rPr>
        <w:t>28</w:t>
      </w:r>
      <w:r w:rsidRPr="637A3414">
        <w:rPr>
          <w:i/>
          <w:iCs/>
        </w:rPr>
        <w:t xml:space="preserve"> by </w:t>
      </w:r>
      <w:r w:rsidR="54E6D5E4" w:rsidRPr="637A3414">
        <w:rPr>
          <w:i/>
          <w:iCs/>
        </w:rPr>
        <w:t>17 Sep 2027</w:t>
      </w:r>
    </w:p>
    <w:p w14:paraId="58DAB9C8" w14:textId="77777777" w:rsidR="00EB4851" w:rsidRPr="00D95F5B" w:rsidRDefault="00EB4851" w:rsidP="00EB4851">
      <w:pPr>
        <w:rPr>
          <w:b/>
          <w:i/>
        </w:rPr>
      </w:pPr>
    </w:p>
    <w:p w14:paraId="5A160073" w14:textId="77777777" w:rsidR="00EB4851" w:rsidRPr="00D95F5B" w:rsidRDefault="00EB4851" w:rsidP="00EB4851">
      <w:r w:rsidRPr="00D95F5B">
        <w:lastRenderedPageBreak/>
        <w:t xml:space="preserve">Offerors should monitor the </w:t>
      </w:r>
      <w:r>
        <w:t>Contract Opportunities on the SAM</w:t>
      </w:r>
      <w:r w:rsidRPr="00D95F5B">
        <w:t xml:space="preserve"> website at </w:t>
      </w:r>
      <w:hyperlink r:id="rId10" w:history="1">
        <w:r>
          <w:rPr>
            <w:rStyle w:val="Hyperlink"/>
          </w:rPr>
          <w:t>https://SAM.gov</w:t>
        </w:r>
      </w:hyperlink>
      <w:r>
        <w:rPr>
          <w:rStyle w:val="Hyperlink"/>
        </w:rPr>
        <w:t xml:space="preserve"> </w:t>
      </w:r>
      <w:r w:rsidRPr="00D95F5B">
        <w:t>in the event this announcement is amended.</w:t>
      </w:r>
    </w:p>
    <w:p w14:paraId="191C30F8" w14:textId="77777777" w:rsidR="00EB4851" w:rsidRPr="00D95F5B" w:rsidRDefault="00EB4851" w:rsidP="00EB4851">
      <w:r w:rsidRPr="00D95F5B">
        <w:tab/>
      </w:r>
      <w:r w:rsidRPr="00D95F5B">
        <w:tab/>
        <w:t xml:space="preserve">   </w:t>
      </w:r>
    </w:p>
    <w:p w14:paraId="698F50DD" w14:textId="33486E07" w:rsidR="00EB4851" w:rsidRDefault="00EB4851" w:rsidP="212E346A">
      <w:r>
        <w:t xml:space="preserve">CONCISE SUMMARY OF TECHNOLOGY REQUIREMENT:   </w:t>
      </w:r>
      <w:r w:rsidR="009C24C8" w:rsidRPr="00B46282">
        <w:t xml:space="preserve">Seeking innovative research to develop and demonstrate </w:t>
      </w:r>
      <w:r w:rsidR="009C24C8" w:rsidRPr="004B2854">
        <w:t>an ultra-broadband radio</w:t>
      </w:r>
      <w:r w:rsidR="009C24C8" w:rsidRPr="00B46282">
        <w:t xml:space="preserve"> </w:t>
      </w:r>
      <w:r w:rsidR="009C24C8">
        <w:t xml:space="preserve">operating </w:t>
      </w:r>
      <w:r w:rsidR="009C24C8" w:rsidRPr="00B46282">
        <w:t xml:space="preserve">above 100 GHz for future </w:t>
      </w:r>
      <w:r w:rsidR="009C24C8">
        <w:t>air force</w:t>
      </w:r>
      <w:r w:rsidR="009C24C8" w:rsidRPr="00B46282">
        <w:t xml:space="preserve"> communications capabilities</w:t>
      </w:r>
      <w:r w:rsidR="009C24C8">
        <w:t xml:space="preserve"> in contested spectrum environments</w:t>
      </w:r>
      <w:r w:rsidR="009C24C8" w:rsidRPr="00B46282">
        <w:t>.</w:t>
      </w:r>
      <w:r w:rsidR="009C24C8" w:rsidRPr="00C510AC">
        <w:t xml:space="preserve"> Collaboration is encouraged</w:t>
      </w:r>
      <w:r w:rsidR="009C24C8">
        <w:t>.</w:t>
      </w:r>
    </w:p>
    <w:p w14:paraId="3A1E2605" w14:textId="77777777" w:rsidR="00EB4851" w:rsidRDefault="00EB4851" w:rsidP="00EB4851"/>
    <w:p w14:paraId="31A571B2" w14:textId="43EE7186" w:rsidR="00EB4851" w:rsidRPr="00D95F5B" w:rsidRDefault="4C107821" w:rsidP="637A3414">
      <w:pPr>
        <w:rPr>
          <w:i/>
          <w:iCs/>
        </w:rPr>
      </w:pPr>
      <w:r w:rsidRPr="637A3414">
        <w:rPr>
          <w:i/>
          <w:iCs/>
        </w:rPr>
        <w:t xml:space="preserve">This BAA is a follow-on to BAA </w:t>
      </w:r>
      <w:r w:rsidR="0EA825ED" w:rsidRPr="637A3414">
        <w:rPr>
          <w:i/>
          <w:iCs/>
        </w:rPr>
        <w:t>FA8750-18-S-7016</w:t>
      </w:r>
      <w:r w:rsidRPr="637A3414">
        <w:rPr>
          <w:i/>
          <w:iCs/>
        </w:rPr>
        <w:t xml:space="preserve"> entitled </w:t>
      </w:r>
      <w:r w:rsidR="28AF83D9">
        <w:t>Terahertz (THz) Communications</w:t>
      </w:r>
      <w:r w:rsidRPr="637A3414">
        <w:rPr>
          <w:i/>
          <w:iCs/>
        </w:rPr>
        <w:t>.</w:t>
      </w:r>
    </w:p>
    <w:p w14:paraId="33079860" w14:textId="77777777" w:rsidR="00EB4851" w:rsidRPr="00D95F5B" w:rsidRDefault="00EB4851" w:rsidP="00EB4851"/>
    <w:p w14:paraId="10CD7D0E" w14:textId="13CA091F" w:rsidR="00EB4851" w:rsidRPr="00D95F5B" w:rsidRDefault="00EB4851" w:rsidP="775C91B6">
      <w:pPr>
        <w:rPr>
          <w:b/>
          <w:bCs/>
          <w:i/>
          <w:iCs/>
          <w:color w:val="FF0000"/>
        </w:rPr>
      </w:pPr>
      <w:r>
        <w:t>BAA ESTIMATED FUNDING:  Total funding for this BAA is approximately $</w:t>
      </w:r>
      <w:r w:rsidR="77972890">
        <w:t>9.9</w:t>
      </w:r>
      <w:r>
        <w:t xml:space="preserve">M.  Individual awards will not normally exceed </w:t>
      </w:r>
      <w:r w:rsidR="1DDA8216">
        <w:t>36</w:t>
      </w:r>
      <w:r w:rsidRPr="775C91B6">
        <w:rPr>
          <w:b/>
          <w:bCs/>
        </w:rPr>
        <w:t xml:space="preserve"> </w:t>
      </w:r>
      <w:r>
        <w:t>months with dollar amounts normally ranging from $</w:t>
      </w:r>
      <w:r w:rsidR="619565F9">
        <w:t>200K</w:t>
      </w:r>
      <w:r>
        <w:t xml:space="preserve"> to $</w:t>
      </w:r>
      <w:r w:rsidR="009B7217">
        <w:t>4</w:t>
      </w:r>
      <w:r w:rsidR="6135AA39">
        <w:t>M</w:t>
      </w:r>
      <w:r>
        <w:t xml:space="preserve">.  There is also the potential to make awards up to </w:t>
      </w:r>
      <w:r w:rsidR="00D33117">
        <w:t xml:space="preserve">any </w:t>
      </w:r>
      <w:r w:rsidR="00CC32F3">
        <w:t>dollar value</w:t>
      </w:r>
      <w:r w:rsidR="00D33117">
        <w:t xml:space="preserve"> </w:t>
      </w:r>
      <w:proofErr w:type="gramStart"/>
      <w:r w:rsidR="00D33117">
        <w:t>as long as</w:t>
      </w:r>
      <w:proofErr w:type="gramEnd"/>
      <w:r w:rsidR="00CC32F3">
        <w:t xml:space="preserve"> the value</w:t>
      </w:r>
      <w:r w:rsidR="00D33117">
        <w:t xml:space="preserve"> d</w:t>
      </w:r>
      <w:r w:rsidR="00CC32F3">
        <w:t>oes not</w:t>
      </w:r>
      <w:r w:rsidR="00D33117">
        <w:t xml:space="preserve"> exceed the available BAA ceiling</w:t>
      </w:r>
      <w:r w:rsidR="00CC32F3">
        <w:t xml:space="preserve"> amount</w:t>
      </w:r>
      <w:r w:rsidR="00D33117">
        <w:t>.</w:t>
      </w:r>
    </w:p>
    <w:p w14:paraId="7550B3DE" w14:textId="255586EB" w:rsidR="212E346A" w:rsidRDefault="212E346A" w:rsidP="212E346A"/>
    <w:p w14:paraId="3643424D" w14:textId="59D14661" w:rsidR="00EB4851" w:rsidRPr="00D95F5B" w:rsidRDefault="00EB4851" w:rsidP="00EB4851">
      <w:r w:rsidRPr="00D95F5B">
        <w:t>ANTICIPATED INDIVIDUAL AWARDS:  Multiple Awards are anticipated</w:t>
      </w:r>
      <w:r>
        <w:t>.  However, the Air Force reserves the right to award zero, one,</w:t>
      </w:r>
      <w:r>
        <w:rPr>
          <w:spacing w:val="1"/>
        </w:rPr>
        <w:t xml:space="preserve"> </w:t>
      </w:r>
      <w:r>
        <w:t>or more Procurement Contracts</w:t>
      </w:r>
      <w:r w:rsidR="3AB9511B">
        <w:t>,</w:t>
      </w:r>
      <w:r>
        <w:t xml:space="preserve"> Other Transactions</w:t>
      </w:r>
      <w:r w:rsidR="52F19A0C">
        <w:t xml:space="preserve">, or </w:t>
      </w:r>
      <w:r>
        <w:t>assistance instruments, for all, some, or none of the solicited</w:t>
      </w:r>
      <w:r>
        <w:rPr>
          <w:spacing w:val="1"/>
        </w:rPr>
        <w:t xml:space="preserve"> </w:t>
      </w:r>
      <w:r>
        <w:t>effort based on the offeror’s ability to perform desired work and funding fluctuations.</w:t>
      </w:r>
      <w:r>
        <w:rPr>
          <w:spacing w:val="1"/>
        </w:rPr>
        <w:t xml:space="preserve"> </w:t>
      </w:r>
      <w:r>
        <w:t>There is no limit on the number of OTs that may be awarded to an</w:t>
      </w:r>
      <w:r>
        <w:rPr>
          <w:spacing w:val="1"/>
        </w:rPr>
        <w:t xml:space="preserve"> </w:t>
      </w:r>
      <w:r>
        <w:t>individual</w:t>
      </w:r>
      <w:r>
        <w:rPr>
          <w:spacing w:val="-5"/>
        </w:rPr>
        <w:t xml:space="preserve"> </w:t>
      </w:r>
      <w:r>
        <w:t>offeror.</w:t>
      </w:r>
    </w:p>
    <w:p w14:paraId="4D535100" w14:textId="77777777" w:rsidR="00EB4851" w:rsidRPr="00D95F5B" w:rsidRDefault="00EB4851" w:rsidP="00EB4851"/>
    <w:p w14:paraId="10573C5A" w14:textId="58F1DC62" w:rsidR="00EB4851" w:rsidRDefault="00EB4851" w:rsidP="62E6598A">
      <w:pPr>
        <w:rPr>
          <w:i/>
          <w:iCs/>
          <w:color w:val="FF0000"/>
        </w:rPr>
      </w:pPr>
      <w:r>
        <w:t>TYPE OF INSTRUMENTS THAT MAY BE AWARDED</w:t>
      </w:r>
      <w:r w:rsidR="00CC32F3">
        <w:t>:</w:t>
      </w:r>
      <w:r w:rsidRPr="007B4DFE">
        <w:rPr>
          <w:i/>
          <w:iCs/>
          <w:color w:val="FF0000"/>
        </w:rPr>
        <w:t xml:space="preserve"> </w:t>
      </w:r>
      <w:r w:rsidR="00A96BEE" w:rsidRPr="007B4DFE">
        <w:t xml:space="preserve">FAR based Procurement contracts, CFR </w:t>
      </w:r>
      <w:proofErr w:type="gramStart"/>
      <w:r w:rsidR="00A96BEE" w:rsidRPr="007B4DFE">
        <w:t>based  grants</w:t>
      </w:r>
      <w:proofErr w:type="gramEnd"/>
      <w:r w:rsidR="00A96BEE" w:rsidRPr="007B4DFE">
        <w:t xml:space="preserve"> and cooperative</w:t>
      </w:r>
      <w:r w:rsidR="00A96BEE" w:rsidRPr="007B4DFE">
        <w:rPr>
          <w:sz w:val="22"/>
          <w:szCs w:val="22"/>
        </w:rPr>
        <w:t xml:space="preserve"> </w:t>
      </w:r>
      <w:r w:rsidR="00A96BEE" w:rsidRPr="007B4DFE">
        <w:t>agreements or other transactions (OT) under 10 USC 4021, 10 USC 4022</w:t>
      </w:r>
      <w:r w:rsidR="00A96BEE" w:rsidRPr="007B4DFE" w:rsidDel="00F56792">
        <w:t xml:space="preserve"> </w:t>
      </w:r>
      <w:proofErr w:type="gramStart"/>
      <w:r w:rsidR="00A96BEE" w:rsidRPr="007B4DFE">
        <w:t>( previously</w:t>
      </w:r>
      <w:proofErr w:type="gramEnd"/>
      <w:r w:rsidR="00A96BEE" w:rsidRPr="007B4DFE">
        <w:t xml:space="preserve"> 10 USC 4002, 2371, 10 USC 4003, 2371b) depending upon the nature of the work proposed. 10 USC 4023 also </w:t>
      </w:r>
      <w:proofErr w:type="gramStart"/>
      <w:r w:rsidR="00A96BEE" w:rsidRPr="007B4DFE">
        <w:t>allows for</w:t>
      </w:r>
      <w:proofErr w:type="gramEnd"/>
      <w:r w:rsidR="00A96BEE" w:rsidRPr="007B4DFE">
        <w:t xml:space="preserve"> FAR based contracts, OTs for research, OTs for Prototype, and assistance instruments.</w:t>
      </w:r>
    </w:p>
    <w:p w14:paraId="00B2B97E" w14:textId="46969E6C" w:rsidR="00EB4851" w:rsidRDefault="00EB4851" w:rsidP="212E346A">
      <w:pPr>
        <w:rPr>
          <w:i/>
          <w:iCs/>
          <w:color w:val="FF0000"/>
        </w:rPr>
      </w:pPr>
    </w:p>
    <w:p w14:paraId="763B6863" w14:textId="4D9740B9" w:rsidR="00EB4851" w:rsidRPr="00E159F8" w:rsidRDefault="00EB4851" w:rsidP="62E6598A">
      <w:pPr>
        <w:rPr>
          <w:i/>
          <w:iCs/>
        </w:rPr>
      </w:pPr>
      <w:proofErr w:type="gramStart"/>
      <w:r w:rsidRPr="62E6598A">
        <w:rPr>
          <w:i/>
          <w:iCs/>
        </w:rPr>
        <w:t>In the event that</w:t>
      </w:r>
      <w:proofErr w:type="gramEnd"/>
      <w:r w:rsidRPr="62E6598A">
        <w:rPr>
          <w:i/>
          <w:iCs/>
        </w:rPr>
        <w:t xml:space="preserve"> an Other Transaction for Prototype agreement is awarded </w:t>
      </w:r>
      <w:proofErr w:type="gramStart"/>
      <w:r w:rsidRPr="62E6598A">
        <w:rPr>
          <w:i/>
          <w:iCs/>
        </w:rPr>
        <w:t>as a result of</w:t>
      </w:r>
      <w:proofErr w:type="gramEnd"/>
      <w:r w:rsidRPr="62E6598A">
        <w:rPr>
          <w:i/>
          <w:iCs/>
        </w:rPr>
        <w:t xml:space="preserve"> this competitive BAA, and the prototype project is successfully completed, there is the potential for a prototype project to transition to award of a follow-on production contract or transaction. The Other Transaction for Prototype agreement itself will also contain a similar notice of a potential follow-on production contract or agreement.</w:t>
      </w:r>
    </w:p>
    <w:p w14:paraId="60209A1F" w14:textId="77777777" w:rsidR="00EB4851" w:rsidRPr="00D95F5B" w:rsidRDefault="00EB4851" w:rsidP="00EB4851"/>
    <w:p w14:paraId="5DC5705A" w14:textId="77777777" w:rsidR="00EB4851" w:rsidRPr="00D95F5B" w:rsidRDefault="00EB4851" w:rsidP="00EB4851">
      <w:r w:rsidRPr="00D95F5B">
        <w:t>AGENCY CONTACT IN</w:t>
      </w:r>
      <w:r>
        <w:t xml:space="preserve">FORMATION:  All white paper </w:t>
      </w:r>
      <w:r w:rsidRPr="00D95F5B">
        <w:t>submissions and any questions of a technical nature shall be directed to the cognizant Technical Point of Contact (TPOC) as specified below (unless otherwise specified in the technical area):</w:t>
      </w:r>
    </w:p>
    <w:p w14:paraId="7A740568" w14:textId="77777777" w:rsidR="00EB4851" w:rsidRPr="00D95F5B" w:rsidRDefault="00EB4851" w:rsidP="00EB4851"/>
    <w:p w14:paraId="50006961" w14:textId="21A490F3" w:rsidR="00EB4851" w:rsidRPr="00D95F5B" w:rsidRDefault="00EB4851" w:rsidP="00EB4851">
      <w:r w:rsidRPr="62E6598A">
        <w:rPr>
          <w:u w:val="single"/>
        </w:rPr>
        <w:t>BAA PROGRAM MANAGER</w:t>
      </w:r>
      <w:r>
        <w:t>:</w:t>
      </w:r>
      <w:r>
        <w:tab/>
      </w:r>
      <w:r>
        <w:tab/>
      </w:r>
      <w:r>
        <w:tab/>
      </w:r>
      <w:r>
        <w:tab/>
      </w:r>
      <w:r>
        <w:tab/>
      </w:r>
    </w:p>
    <w:p w14:paraId="3AD79F28" w14:textId="1B34AEC7" w:rsidR="00EB4851" w:rsidRPr="00D95F5B" w:rsidRDefault="74EBCE9A" w:rsidP="62E6598A">
      <w:pPr>
        <w:spacing w:line="259" w:lineRule="auto"/>
        <w:rPr>
          <w:i/>
          <w:iCs/>
          <w:color w:val="FF0000"/>
        </w:rPr>
      </w:pPr>
      <w:r w:rsidRPr="62E6598A">
        <w:t>Peter Ricci</w:t>
      </w:r>
      <w:r w:rsidR="00EB4851">
        <w:tab/>
      </w:r>
      <w:r w:rsidR="00EB4851">
        <w:tab/>
      </w:r>
      <w:r w:rsidR="00EB4851">
        <w:tab/>
      </w:r>
      <w:r w:rsidR="00EB4851">
        <w:tab/>
      </w:r>
      <w:r w:rsidR="00EB4851">
        <w:tab/>
      </w:r>
    </w:p>
    <w:p w14:paraId="7D01911A" w14:textId="23091F95" w:rsidR="00EB4851" w:rsidRDefault="00EB4851" w:rsidP="00EB4851">
      <w:r>
        <w:t>AFRL/RI</w:t>
      </w:r>
      <w:r w:rsidR="47F5468D">
        <w:t>TGA</w:t>
      </w:r>
      <w:r>
        <w:tab/>
      </w:r>
      <w:r>
        <w:tab/>
      </w:r>
      <w:r>
        <w:tab/>
      </w:r>
      <w:r>
        <w:tab/>
      </w:r>
      <w:r>
        <w:tab/>
      </w:r>
      <w:r>
        <w:tab/>
      </w:r>
    </w:p>
    <w:p w14:paraId="40288EE7" w14:textId="77777777" w:rsidR="00EB4851" w:rsidRPr="00D95F5B" w:rsidRDefault="00EB4851" w:rsidP="00EB4851">
      <w:r w:rsidRPr="00D95F5B">
        <w:t>525 Brook</w:t>
      </w:r>
      <w:r>
        <w:t>s</w:t>
      </w:r>
      <w:r w:rsidRPr="00D95F5B">
        <w:t xml:space="preserve"> Rd</w:t>
      </w:r>
    </w:p>
    <w:p w14:paraId="6EFF0284" w14:textId="77777777" w:rsidR="00EB4851" w:rsidRPr="00D95F5B" w:rsidRDefault="00EB4851" w:rsidP="00EB4851">
      <w:r w:rsidRPr="00D95F5B">
        <w:t>Rome, NY 13441</w:t>
      </w:r>
      <w:r>
        <w:t>-4505</w:t>
      </w:r>
      <w:r w:rsidRPr="00D95F5B">
        <w:tab/>
      </w:r>
      <w:r w:rsidRPr="00D95F5B">
        <w:tab/>
      </w:r>
      <w:r w:rsidRPr="00D95F5B">
        <w:tab/>
      </w:r>
      <w:r w:rsidRPr="00D95F5B">
        <w:tab/>
      </w:r>
      <w:r w:rsidRPr="00D95F5B">
        <w:tab/>
      </w:r>
    </w:p>
    <w:p w14:paraId="4810708C" w14:textId="48457F6F" w:rsidR="00EB4851" w:rsidRPr="00D95F5B" w:rsidRDefault="00EB4851" w:rsidP="00EB4851">
      <w:r>
        <w:t>Telephone: (315)330-</w:t>
      </w:r>
      <w:r w:rsidR="75743B7A">
        <w:t>2427</w:t>
      </w:r>
      <w:r>
        <w:tab/>
      </w:r>
      <w:r>
        <w:tab/>
      </w:r>
      <w:r>
        <w:tab/>
      </w:r>
      <w:r>
        <w:tab/>
      </w:r>
    </w:p>
    <w:p w14:paraId="39BA8898" w14:textId="6A518A4D" w:rsidR="00EB4851" w:rsidRPr="00D95F5B" w:rsidRDefault="00EB4851" w:rsidP="00EB4851">
      <w:r>
        <w:t>Email:</w:t>
      </w:r>
      <w:r>
        <w:tab/>
      </w:r>
      <w:r w:rsidR="15483E8C">
        <w:t>Peter.Ricci.1@us.af.mil</w:t>
      </w:r>
      <w:r>
        <w:t xml:space="preserve"> </w:t>
      </w:r>
    </w:p>
    <w:p w14:paraId="7654A073" w14:textId="4CB1FEA6" w:rsidR="62E6598A" w:rsidRDefault="62E6598A" w:rsidP="62E6598A">
      <w:pPr>
        <w:rPr>
          <w:u w:val="single"/>
        </w:rPr>
      </w:pPr>
    </w:p>
    <w:p w14:paraId="441711F9" w14:textId="77777777" w:rsidR="00EB4851" w:rsidRPr="00D95F5B" w:rsidRDefault="00EB4851" w:rsidP="00EB4851"/>
    <w:p w14:paraId="441966BB" w14:textId="77777777" w:rsidR="00EB4851" w:rsidRPr="00D95F5B" w:rsidRDefault="00EB4851" w:rsidP="00EB4851">
      <w:r w:rsidRPr="00D95F5B">
        <w:t>Questions of a contractual/business nature shall be directed to the cognizant contracting officer, as specified below (</w:t>
      </w:r>
      <w:r w:rsidRPr="00006597">
        <w:rPr>
          <w:b/>
        </w:rPr>
        <w:t>email requests are preferred</w:t>
      </w:r>
      <w:r w:rsidRPr="00D95F5B">
        <w:t>):</w:t>
      </w:r>
    </w:p>
    <w:p w14:paraId="1D86F5A4" w14:textId="77777777" w:rsidR="00EB4851" w:rsidRPr="00D95F5B" w:rsidRDefault="00EB4851" w:rsidP="00EB4851"/>
    <w:p w14:paraId="5D8A6905" w14:textId="77777777" w:rsidR="00EB4851" w:rsidRPr="00D95F5B" w:rsidRDefault="00EB4851" w:rsidP="00EB4851">
      <w:r w:rsidRPr="00D95F5B">
        <w:t xml:space="preserve">    </w:t>
      </w:r>
      <w:r>
        <w:t>Amber Buckley</w:t>
      </w:r>
    </w:p>
    <w:p w14:paraId="21EBD9DB" w14:textId="77777777" w:rsidR="00EB4851" w:rsidRPr="00D95F5B" w:rsidRDefault="00EB4851" w:rsidP="00EB4851">
      <w:r w:rsidRPr="00D95F5B">
        <w:t xml:space="preserve">    Email:  </w:t>
      </w:r>
      <w:hyperlink r:id="rId11" w:history="1">
        <w:r w:rsidRPr="00631B4E">
          <w:rPr>
            <w:rStyle w:val="Hyperlink"/>
          </w:rPr>
          <w:t>Amber.Buckley@us.af.mil</w:t>
        </w:r>
      </w:hyperlink>
    </w:p>
    <w:p w14:paraId="701175C1" w14:textId="77777777" w:rsidR="00EB4851" w:rsidRPr="00D95F5B" w:rsidRDefault="00EB4851" w:rsidP="00EB4851"/>
    <w:p w14:paraId="68DF6D17" w14:textId="6B4BD965" w:rsidR="00EB4851" w:rsidRPr="00D95F5B" w:rsidRDefault="00EB4851" w:rsidP="00EB4851">
      <w:r>
        <w:t>Emails must reference the solicitation BAA number and title of the acquisition.</w:t>
      </w:r>
    </w:p>
    <w:p w14:paraId="5E68EE7C" w14:textId="77777777" w:rsidR="00EB4851" w:rsidRPr="00D95F5B" w:rsidRDefault="00EB4851" w:rsidP="00EB4851"/>
    <w:p w14:paraId="7A91F0CC" w14:textId="77777777" w:rsidR="00EB4851" w:rsidRPr="00D95F5B" w:rsidRDefault="00EB4851" w:rsidP="00EB4851">
      <w:r>
        <w:rPr>
          <w:b/>
          <w:bCs/>
        </w:rPr>
        <w:t xml:space="preserve">Pre-Proposal </w:t>
      </w:r>
      <w:r w:rsidRPr="00D95F5B">
        <w:rPr>
          <w:b/>
          <w:bCs/>
        </w:rPr>
        <w:t>Communication between Prospective Offerors and Government Representatives</w:t>
      </w:r>
      <w:r w:rsidRPr="00D95F5B">
        <w:rPr>
          <w:bCs/>
        </w:rPr>
        <w:t xml:space="preserve">:  </w:t>
      </w:r>
      <w:r w:rsidRPr="00D95F5B">
        <w:t>Dialogue between prospective offerors and Government representatives is encouraged.  Technical and contracting questions can be resolved in writing or through open discussions. Discussions with any of the points of contact shall not constitute a commitment by the Government to subsequently fund or award any proposed effort. Only Contracting Officers are legally authorized to commit the Government.</w:t>
      </w:r>
    </w:p>
    <w:p w14:paraId="4BCFB593" w14:textId="77777777" w:rsidR="00EB4851" w:rsidRPr="00D95F5B" w:rsidRDefault="00EB4851" w:rsidP="00EB4851">
      <w:pPr>
        <w:rPr>
          <w:b/>
        </w:rPr>
      </w:pPr>
    </w:p>
    <w:p w14:paraId="3BC6D2B8" w14:textId="12467C53" w:rsidR="00EB4851" w:rsidRDefault="00EB4851" w:rsidP="212E346A">
      <w:pPr>
        <w:rPr>
          <w:b/>
          <w:bCs/>
        </w:rPr>
      </w:pPr>
      <w:r w:rsidRPr="212E346A">
        <w:rPr>
          <w:b/>
          <w:bCs/>
        </w:rPr>
        <w:t>Offerors are cautioned that evaluation ratings may be lowered and/or proposal rejected if proposal preparation (Proposal format, content, etc.) and/or submittal instructions are not followed.</w:t>
      </w:r>
    </w:p>
    <w:p w14:paraId="558E9F14" w14:textId="77777777" w:rsidR="00EB4851" w:rsidRPr="00D95F5B" w:rsidRDefault="00EB4851" w:rsidP="00EB4851">
      <w:pPr>
        <w:rPr>
          <w:b/>
        </w:rPr>
      </w:pPr>
    </w:p>
    <w:p w14:paraId="5B79B1FB" w14:textId="77777777" w:rsidR="00EB4851" w:rsidRPr="00D95F5B" w:rsidRDefault="00EB4851" w:rsidP="00EB4851">
      <w:pPr>
        <w:rPr>
          <w:b/>
        </w:rPr>
      </w:pPr>
      <w:r w:rsidRPr="00D95F5B">
        <w:rPr>
          <w:b/>
        </w:rPr>
        <w:t>PART II – FULL TEXT ANNOUNCEMENT</w:t>
      </w:r>
    </w:p>
    <w:p w14:paraId="66ADE3B7" w14:textId="77777777" w:rsidR="00EB4851" w:rsidRPr="00D95F5B" w:rsidRDefault="00EB4851" w:rsidP="00EB4851">
      <w:pPr>
        <w:rPr>
          <w:b/>
          <w:u w:val="single"/>
        </w:rPr>
      </w:pPr>
    </w:p>
    <w:p w14:paraId="3614F2E8" w14:textId="737DD5EC" w:rsidR="00911246" w:rsidRPr="00D95F5B" w:rsidRDefault="00911246" w:rsidP="00911246">
      <w:r>
        <w:t xml:space="preserve">BROAD AGENCY ANNOUNCEMENT (BAA) TITLE: </w:t>
      </w:r>
      <w:r w:rsidR="005960F3">
        <w:t xml:space="preserve">Ultra-broadband </w:t>
      </w:r>
      <w:r w:rsidR="7598B2E5">
        <w:t>T</w:t>
      </w:r>
      <w:r w:rsidR="005960F3">
        <w:t xml:space="preserve">erahertz </w:t>
      </w:r>
      <w:r w:rsidR="15069AA5">
        <w:t>R</w:t>
      </w:r>
      <w:r w:rsidR="005960F3">
        <w:t xml:space="preserve">adio </w:t>
      </w:r>
      <w:r w:rsidR="15D86AF8">
        <w:t>D</w:t>
      </w:r>
      <w:r w:rsidR="005960F3">
        <w:t>evelopment</w:t>
      </w:r>
    </w:p>
    <w:p w14:paraId="52CEDB56" w14:textId="77777777" w:rsidR="00EB4851" w:rsidRPr="00D95F5B" w:rsidRDefault="00EB4851" w:rsidP="00EB4851"/>
    <w:p w14:paraId="0304D088" w14:textId="3226D495" w:rsidR="00EB4851" w:rsidRDefault="4C107821" w:rsidP="637A3414">
      <w:pPr>
        <w:rPr>
          <w:i/>
          <w:iCs/>
          <w:highlight w:val="yellow"/>
        </w:rPr>
      </w:pPr>
      <w:proofErr w:type="gramStart"/>
      <w:r>
        <w:t>BAA  NUMBER:</w:t>
      </w:r>
      <w:r w:rsidR="50EED8FC">
        <w:t xml:space="preserve"> </w:t>
      </w:r>
      <w:r>
        <w:t xml:space="preserve"> </w:t>
      </w:r>
      <w:r w:rsidR="7CDD88AF">
        <w:t>FA8750</w:t>
      </w:r>
      <w:proofErr w:type="gramEnd"/>
      <w:r w:rsidR="7CDD88AF">
        <w:t>-23-S-7009</w:t>
      </w:r>
    </w:p>
    <w:p w14:paraId="65939EAE" w14:textId="77777777" w:rsidR="00EB4851" w:rsidRPr="00D95F5B" w:rsidRDefault="00EB4851" w:rsidP="00EB4851"/>
    <w:p w14:paraId="6B3B63FB" w14:textId="3ED7B041" w:rsidR="00EB4851" w:rsidRDefault="00A96BEE" w:rsidP="637A3414">
      <w:r w:rsidRPr="007B4DFE">
        <w:t>Assistance Listing Number</w:t>
      </w:r>
      <w:r w:rsidR="4C107821" w:rsidRPr="007B4DFE">
        <w:t>: 12</w:t>
      </w:r>
      <w:r w:rsidR="4C107821">
        <w:t>.800</w:t>
      </w:r>
      <w:r w:rsidR="75771B42">
        <w:t xml:space="preserve"> and </w:t>
      </w:r>
      <w:r w:rsidR="4C107821" w:rsidRPr="637A3414">
        <w:t>12.910.</w:t>
      </w:r>
    </w:p>
    <w:p w14:paraId="5C2C9BB4" w14:textId="77777777" w:rsidR="007B4DFE" w:rsidRDefault="007B4DFE" w:rsidP="637A3414"/>
    <w:p w14:paraId="592DCB3C" w14:textId="789FA0F4" w:rsidR="007B4DFE" w:rsidRPr="007B4DFE" w:rsidRDefault="007B4DFE" w:rsidP="637A3414">
      <w:pPr>
        <w:rPr>
          <w:color w:val="000000" w:themeColor="text1"/>
        </w:rPr>
      </w:pPr>
      <w:r w:rsidRPr="007B4DFE">
        <w:rPr>
          <w:color w:val="000000" w:themeColor="text1"/>
        </w:rPr>
        <w:t>Federal Acquisition Supply Chain Act (FASCSA) Orders: As of the date of this solicitation, there are no applicable FASCSA orders. This requirement only applies to FAR based awards.  </w:t>
      </w:r>
    </w:p>
    <w:p w14:paraId="60778E2A" w14:textId="77777777" w:rsidR="00EB4851" w:rsidRPr="00D95F5B" w:rsidRDefault="00EB4851" w:rsidP="00EB4851">
      <w:pPr>
        <w:rPr>
          <w:b/>
        </w:rPr>
      </w:pPr>
    </w:p>
    <w:p w14:paraId="6595D65E" w14:textId="77777777" w:rsidR="00EB4851" w:rsidRPr="00D95F5B" w:rsidRDefault="00EB4851" w:rsidP="00EB4851">
      <w:pPr>
        <w:rPr>
          <w:b/>
        </w:rPr>
      </w:pPr>
      <w:r w:rsidRPr="00D95F5B">
        <w:rPr>
          <w:b/>
        </w:rPr>
        <w:t xml:space="preserve">I. </w:t>
      </w:r>
      <w:r w:rsidRPr="00D95F5B">
        <w:rPr>
          <w:b/>
          <w:u w:val="single"/>
        </w:rPr>
        <w:t xml:space="preserve"> </w:t>
      </w:r>
      <w:r>
        <w:rPr>
          <w:b/>
          <w:u w:val="single"/>
        </w:rPr>
        <w:t>TECHNOLOGY REQUIREMENTS</w:t>
      </w:r>
      <w:r w:rsidRPr="00D95F5B">
        <w:rPr>
          <w:b/>
        </w:rPr>
        <w:t>:</w:t>
      </w:r>
    </w:p>
    <w:p w14:paraId="404DD0AE" w14:textId="77777777" w:rsidR="00EB4851" w:rsidRPr="00D95F5B" w:rsidRDefault="00EB4851" w:rsidP="00EB4851">
      <w:pPr>
        <w:rPr>
          <w:color w:val="000000"/>
        </w:rPr>
      </w:pPr>
    </w:p>
    <w:p w14:paraId="044B78B5" w14:textId="1A7FE718" w:rsidR="00EB4851" w:rsidRPr="00D95F5B" w:rsidRDefault="00EB4851" w:rsidP="212E346A">
      <w:pPr>
        <w:rPr>
          <w:b/>
          <w:bCs/>
          <w:i/>
          <w:iCs/>
        </w:rPr>
      </w:pPr>
      <w:r w:rsidRPr="212E346A">
        <w:rPr>
          <w:color w:val="000000" w:themeColor="text1"/>
        </w:rPr>
        <w:t xml:space="preserve">The Air Force Research Laboratory is soliciting white papers under this Broad Agency Announcement (BAA) for research, development, integration, test and evaluation of technologies/techniques to </w:t>
      </w:r>
      <w:r w:rsidR="00717185">
        <w:rPr>
          <w:color w:val="000000" w:themeColor="text1"/>
        </w:rPr>
        <w:t>enable ultra-broadband communications in</w:t>
      </w:r>
      <w:r w:rsidR="00616D2F">
        <w:rPr>
          <w:color w:val="000000" w:themeColor="text1"/>
        </w:rPr>
        <w:t xml:space="preserve"> </w:t>
      </w:r>
      <w:r w:rsidR="00717185">
        <w:rPr>
          <w:color w:val="000000" w:themeColor="text1"/>
        </w:rPr>
        <w:t>terahertz band</w:t>
      </w:r>
      <w:r w:rsidR="00F61D39">
        <w:rPr>
          <w:color w:val="000000" w:themeColor="text1"/>
        </w:rPr>
        <w:t>.</w:t>
      </w:r>
    </w:p>
    <w:p w14:paraId="5E6274E5" w14:textId="48D8BD5A" w:rsidR="00EB4851" w:rsidRPr="00D95F5B" w:rsidRDefault="00EB4851" w:rsidP="00EB4851">
      <w:pPr>
        <w:rPr>
          <w:b/>
          <w:i/>
          <w:highlight w:val="yellow"/>
        </w:rPr>
      </w:pPr>
    </w:p>
    <w:p w14:paraId="5E3A9346" w14:textId="4D153022" w:rsidR="00A3749E" w:rsidRPr="005960F3" w:rsidRDefault="00A3749E" w:rsidP="00A3749E">
      <w:pPr>
        <w:spacing w:after="160" w:line="259" w:lineRule="auto"/>
        <w:rPr>
          <w:color w:val="000000" w:themeColor="text1"/>
        </w:rPr>
      </w:pPr>
      <w:r w:rsidRPr="005960F3">
        <w:rPr>
          <w:color w:val="000000" w:themeColor="text1"/>
        </w:rPr>
        <w:t xml:space="preserve">Radio frequencies above 100 GHz, commonly known as </w:t>
      </w:r>
      <w:r w:rsidR="000D1699">
        <w:rPr>
          <w:color w:val="000000" w:themeColor="text1"/>
        </w:rPr>
        <w:t>sub-</w:t>
      </w:r>
      <w:r w:rsidRPr="005960F3">
        <w:rPr>
          <w:color w:val="000000" w:themeColor="text1"/>
        </w:rPr>
        <w:t xml:space="preserve">terahertz or terahertz band, remain underutilized for communications purposes, despite their potential to enable secure wideband applications for communication systems. The high atmospheric absorption at these frequencies can limit the effective transmission range but can also be exploited for secure channelization in contested spectrum environments. Higher frequencies also mean narrower beamwidths which adds to the link security but in turn makes antenna pointing, acquisition and tracking challenging. </w:t>
      </w:r>
    </w:p>
    <w:p w14:paraId="659F588B" w14:textId="5E4D6873" w:rsidR="00A3749E" w:rsidRPr="005960F3" w:rsidRDefault="00A3749E" w:rsidP="00A3749E">
      <w:pPr>
        <w:spacing w:after="160" w:line="259" w:lineRule="auto"/>
        <w:rPr>
          <w:color w:val="000000" w:themeColor="text1"/>
        </w:rPr>
      </w:pPr>
      <w:r w:rsidRPr="005960F3">
        <w:rPr>
          <w:color w:val="000000" w:themeColor="text1"/>
        </w:rPr>
        <w:t xml:space="preserve">Recently, advances in material and device technology enabled components and sub-systems such as power amplifiers, low noise amplifiers, frequency multipliers and antenna array sub-systems that operate above 100 GHz. </w:t>
      </w:r>
      <w:r w:rsidRPr="00A051E5">
        <w:rPr>
          <w:color w:val="000000" w:themeColor="text1"/>
        </w:rPr>
        <w:t>Past decade has seen technology advancement and demonstrations of wireless links at 140, 200, 240, 300 GHz and above,</w:t>
      </w:r>
      <w:r w:rsidR="00BA74ED">
        <w:rPr>
          <w:color w:val="000000" w:themeColor="text1"/>
        </w:rPr>
        <w:t xml:space="preserve"> and the next technology challenge is to develop</w:t>
      </w:r>
      <w:r w:rsidR="00725DD3">
        <w:rPr>
          <w:color w:val="000000" w:themeColor="text1"/>
        </w:rPr>
        <w:t xml:space="preserve"> a compact end-to-end communications system </w:t>
      </w:r>
      <w:r w:rsidR="002B7C6D">
        <w:rPr>
          <w:color w:val="000000" w:themeColor="text1"/>
        </w:rPr>
        <w:t xml:space="preserve">that operates </w:t>
      </w:r>
      <w:r w:rsidR="00725DD3">
        <w:rPr>
          <w:color w:val="000000" w:themeColor="text1"/>
        </w:rPr>
        <w:t xml:space="preserve">in </w:t>
      </w:r>
      <w:r w:rsidR="00BA0D48">
        <w:rPr>
          <w:color w:val="000000" w:themeColor="text1"/>
        </w:rPr>
        <w:t>sub-</w:t>
      </w:r>
      <w:r w:rsidR="00725DD3">
        <w:rPr>
          <w:color w:val="000000" w:themeColor="text1"/>
        </w:rPr>
        <w:t>terahertz</w:t>
      </w:r>
      <w:r w:rsidR="00BA0D48">
        <w:rPr>
          <w:color w:val="000000" w:themeColor="text1"/>
        </w:rPr>
        <w:t>/terahertz</w:t>
      </w:r>
      <w:r w:rsidR="00725DD3">
        <w:rPr>
          <w:color w:val="000000" w:themeColor="text1"/>
        </w:rPr>
        <w:t xml:space="preserve"> band.</w:t>
      </w:r>
    </w:p>
    <w:p w14:paraId="083542B7" w14:textId="592D23AB" w:rsidR="00A3749E" w:rsidRPr="005960F3" w:rsidRDefault="00A3749E" w:rsidP="00A3749E">
      <w:pPr>
        <w:spacing w:after="160" w:line="259" w:lineRule="auto"/>
        <w:rPr>
          <w:color w:val="000000" w:themeColor="text1"/>
        </w:rPr>
      </w:pPr>
      <w:r w:rsidRPr="005960F3">
        <w:rPr>
          <w:color w:val="000000" w:themeColor="text1"/>
        </w:rPr>
        <w:t xml:space="preserve">AFRL/RI is interested in design, development and demonstration of an ultra-broadband radio that dynamically adjusts carrier frequency, output power and data rate within the frequency range of interest—100 to 300 GHz. The proposed system should include state-of-the-art modem design, for fast flexible baseband that can support spreading bandwidth up to 10 GHz and data rate of 1 Mbps – 1 Gbps as well as adapt to atmospheric conditions, link requirements and the presence of interference. The proposed system should also feature ability to accurately form and shape </w:t>
      </w:r>
      <w:r w:rsidR="000D1699">
        <w:rPr>
          <w:color w:val="000000" w:themeColor="text1"/>
        </w:rPr>
        <w:t>the</w:t>
      </w:r>
      <w:r w:rsidR="005E6AC9">
        <w:rPr>
          <w:color w:val="000000" w:themeColor="text1"/>
        </w:rPr>
        <w:t xml:space="preserve"> terahertz</w:t>
      </w:r>
      <w:r w:rsidRPr="005960F3">
        <w:rPr>
          <w:color w:val="000000" w:themeColor="text1"/>
        </w:rPr>
        <w:t xml:space="preserve"> beams to control </w:t>
      </w:r>
      <w:r w:rsidRPr="005960F3">
        <w:rPr>
          <w:color w:val="000000" w:themeColor="text1"/>
        </w:rPr>
        <w:lastRenderedPageBreak/>
        <w:t>the signal’s presence in time and space while meeting communications requirements.</w:t>
      </w:r>
      <w:r w:rsidR="00F14F83">
        <w:rPr>
          <w:color w:val="000000" w:themeColor="text1"/>
        </w:rPr>
        <w:t xml:space="preserve"> </w:t>
      </w:r>
      <w:proofErr w:type="gramStart"/>
      <w:r w:rsidR="00F14F83" w:rsidRPr="00616D2F">
        <w:rPr>
          <w:b/>
          <w:bCs/>
          <w:color w:val="000000" w:themeColor="text1"/>
        </w:rPr>
        <w:t>At this time</w:t>
      </w:r>
      <w:proofErr w:type="gramEnd"/>
      <w:r w:rsidR="00F14F83" w:rsidRPr="00616D2F">
        <w:rPr>
          <w:b/>
          <w:bCs/>
          <w:color w:val="000000" w:themeColor="text1"/>
        </w:rPr>
        <w:t>, we are not interested in specific waveform design or solutions.</w:t>
      </w:r>
    </w:p>
    <w:p w14:paraId="7D67BA8B" w14:textId="48D8BD5A" w:rsidR="00A3749E" w:rsidRPr="005960F3" w:rsidRDefault="00A3749E" w:rsidP="00A3749E">
      <w:pPr>
        <w:spacing w:after="160" w:line="259" w:lineRule="auto"/>
        <w:rPr>
          <w:color w:val="000000" w:themeColor="text1"/>
        </w:rPr>
      </w:pPr>
      <w:r w:rsidRPr="005960F3">
        <w:rPr>
          <w:color w:val="000000" w:themeColor="text1"/>
        </w:rPr>
        <w:t>In summary, the proposed system should be able to demonstrate the following key performance parameters:</w:t>
      </w:r>
    </w:p>
    <w:p w14:paraId="0EB0C112" w14:textId="48D8BD5A" w:rsidR="00A3749E" w:rsidRPr="005960F3" w:rsidRDefault="00A3749E" w:rsidP="00A3749E">
      <w:pPr>
        <w:spacing w:after="160" w:line="259" w:lineRule="auto"/>
        <w:rPr>
          <w:color w:val="000000" w:themeColor="text1"/>
        </w:rPr>
      </w:pPr>
      <w:r w:rsidRPr="005960F3">
        <w:rPr>
          <w:color w:val="000000" w:themeColor="text1"/>
        </w:rPr>
        <w:t>- transmission range: 200 m threshold, 2000 m objective at ground level</w:t>
      </w:r>
    </w:p>
    <w:p w14:paraId="3E23BE38" w14:textId="230DEF33" w:rsidR="00A3749E" w:rsidRPr="005960F3" w:rsidRDefault="00A3749E" w:rsidP="00A3749E">
      <w:pPr>
        <w:spacing w:after="160" w:line="259" w:lineRule="auto"/>
        <w:rPr>
          <w:color w:val="000000" w:themeColor="text1"/>
        </w:rPr>
      </w:pPr>
      <w:r w:rsidRPr="005960F3">
        <w:rPr>
          <w:color w:val="000000" w:themeColor="text1"/>
        </w:rPr>
        <w:t>- data rate: 1 Mbps threshold, 1 Gbps objective</w:t>
      </w:r>
    </w:p>
    <w:p w14:paraId="2E535BEF" w14:textId="7589810B" w:rsidR="00A3749E" w:rsidRPr="005960F3" w:rsidRDefault="00A3749E" w:rsidP="00A3749E">
      <w:pPr>
        <w:spacing w:after="160" w:line="259" w:lineRule="auto"/>
        <w:rPr>
          <w:color w:val="000000" w:themeColor="text1"/>
        </w:rPr>
      </w:pPr>
      <w:r w:rsidRPr="005960F3">
        <w:rPr>
          <w:color w:val="000000" w:themeColor="text1"/>
        </w:rPr>
        <w:t>- instantaneous RF bandwidth: 5 GHz threshold, 10 GHz objective</w:t>
      </w:r>
    </w:p>
    <w:p w14:paraId="41DC55BA" w14:textId="2855DA78" w:rsidR="00A3749E" w:rsidRPr="005960F3" w:rsidRDefault="00A3749E" w:rsidP="00A3749E">
      <w:pPr>
        <w:spacing w:after="160" w:line="259" w:lineRule="auto"/>
        <w:rPr>
          <w:color w:val="000000" w:themeColor="text1"/>
        </w:rPr>
      </w:pPr>
      <w:r w:rsidRPr="005960F3">
        <w:rPr>
          <w:color w:val="000000" w:themeColor="text1"/>
        </w:rPr>
        <w:t>- beamwidth: 5 degrees threshold, 3 degrees objective</w:t>
      </w:r>
    </w:p>
    <w:p w14:paraId="2567C5D9" w14:textId="48D8BD5A" w:rsidR="00A3749E" w:rsidRPr="005960F3" w:rsidRDefault="00A3749E" w:rsidP="00A3749E">
      <w:pPr>
        <w:spacing w:after="160" w:line="259" w:lineRule="auto"/>
        <w:rPr>
          <w:color w:val="000000" w:themeColor="text1"/>
        </w:rPr>
      </w:pPr>
      <w:r w:rsidRPr="005960F3">
        <w:rPr>
          <w:color w:val="000000" w:themeColor="text1"/>
        </w:rPr>
        <w:t>- pointing accuracy: 10 percent threshold, 5 percent objective</w:t>
      </w:r>
    </w:p>
    <w:p w14:paraId="338A7541" w14:textId="1A7267D0" w:rsidR="00C70442" w:rsidRPr="005960F3" w:rsidRDefault="4B504063" w:rsidP="00A3749E">
      <w:pPr>
        <w:spacing w:after="160" w:line="259" w:lineRule="auto"/>
        <w:rPr>
          <w:color w:val="000000" w:themeColor="text1"/>
          <w:highlight w:val="yellow"/>
        </w:rPr>
      </w:pPr>
      <w:r w:rsidRPr="511B3F1D">
        <w:rPr>
          <w:color w:val="000000" w:themeColor="text1"/>
        </w:rPr>
        <w:t>AFRL/RI is interested in an integrated solution and encourages teaming between performers from multiple technical disciplines. Proposers interested in teaming are encouraged to attend the industry day. Successful proposers will also be strongly encouraged to collaborate with AFRL/RI researchers for system tests and demonstrations at AFRL research sites.</w:t>
      </w:r>
    </w:p>
    <w:p w14:paraId="581C415D" w14:textId="7B06A01B" w:rsidR="00EB4851" w:rsidRPr="00262226" w:rsidRDefault="5C090208" w:rsidP="1B323033">
      <w:pPr>
        <w:rPr>
          <w:b/>
          <w:bCs/>
          <w:i/>
          <w:iCs/>
        </w:rPr>
      </w:pPr>
      <w:r w:rsidRPr="00262226">
        <w:rPr>
          <w:b/>
          <w:bCs/>
          <w:i/>
          <w:iCs/>
        </w:rPr>
        <w:t xml:space="preserve">The </w:t>
      </w:r>
      <w:r w:rsidR="1719DAE8" w:rsidRPr="00262226">
        <w:rPr>
          <w:b/>
          <w:bCs/>
          <w:i/>
          <w:iCs/>
        </w:rPr>
        <w:t>Terahertz Comm</w:t>
      </w:r>
      <w:r w:rsidRPr="00262226">
        <w:rPr>
          <w:b/>
          <w:bCs/>
          <w:i/>
          <w:iCs/>
        </w:rPr>
        <w:t xml:space="preserve"> Program Team anticipates hosting an Industry Day to provide interested offerors an opportunity to learn more about </w:t>
      </w:r>
      <w:r w:rsidR="7FA77AE0" w:rsidRPr="00262226">
        <w:rPr>
          <w:b/>
          <w:bCs/>
          <w:i/>
          <w:iCs/>
        </w:rPr>
        <w:t>the program</w:t>
      </w:r>
      <w:r w:rsidRPr="00262226">
        <w:rPr>
          <w:b/>
          <w:bCs/>
          <w:i/>
          <w:iCs/>
        </w:rPr>
        <w:t xml:space="preserve">.  The team plans to host an Industry Day on </w:t>
      </w:r>
      <w:r w:rsidR="35FE55EE" w:rsidRPr="00262226">
        <w:rPr>
          <w:b/>
          <w:bCs/>
          <w:i/>
          <w:iCs/>
        </w:rPr>
        <w:t>October</w:t>
      </w:r>
      <w:r w:rsidR="1AFE066E" w:rsidRPr="00262226">
        <w:rPr>
          <w:b/>
          <w:bCs/>
          <w:i/>
          <w:iCs/>
        </w:rPr>
        <w:t xml:space="preserve"> </w:t>
      </w:r>
      <w:r w:rsidR="54296156" w:rsidRPr="00262226">
        <w:rPr>
          <w:b/>
          <w:bCs/>
          <w:i/>
          <w:iCs/>
        </w:rPr>
        <w:t>17, 2023</w:t>
      </w:r>
      <w:r w:rsidRPr="00262226">
        <w:rPr>
          <w:b/>
          <w:bCs/>
          <w:i/>
          <w:iCs/>
        </w:rPr>
        <w:t>.  This date is subject to change.  Details regarding registration, format, and attendee access will be published in SAM.gov shortly following the announcement publication proper.</w:t>
      </w:r>
    </w:p>
    <w:p w14:paraId="25A9BF8B" w14:textId="77777777" w:rsidR="00EB4851" w:rsidRDefault="00EB4851" w:rsidP="00EB4851">
      <w:pPr>
        <w:rPr>
          <w:b/>
          <w:i/>
        </w:rPr>
      </w:pPr>
    </w:p>
    <w:p w14:paraId="7C25EB6B" w14:textId="77777777" w:rsidR="00EB4851" w:rsidRDefault="00EB4851" w:rsidP="00EB4851">
      <w:pPr>
        <w:pStyle w:val="PlainText"/>
        <w:rPr>
          <w:rFonts w:ascii="Times New Roman" w:hAnsi="Times New Roman" w:cs="Times New Roman"/>
          <w:b/>
          <w:sz w:val="24"/>
          <w:u w:val="single"/>
        </w:rPr>
      </w:pPr>
      <w:r w:rsidRPr="212E346A">
        <w:rPr>
          <w:rFonts w:ascii="Times New Roman" w:hAnsi="Times New Roman" w:cs="Times New Roman"/>
          <w:b/>
          <w:bCs/>
          <w:sz w:val="24"/>
          <w:szCs w:val="24"/>
          <w:u w:val="single"/>
        </w:rPr>
        <w:t>IMPORTANT NOTES REGARDING:</w:t>
      </w:r>
    </w:p>
    <w:p w14:paraId="7D0F6DC6" w14:textId="73203000" w:rsidR="212E346A" w:rsidRDefault="212E346A" w:rsidP="212E346A">
      <w:pPr>
        <w:pStyle w:val="PlainText"/>
        <w:rPr>
          <w:rFonts w:ascii="Times New Roman" w:hAnsi="Times New Roman" w:cs="Times New Roman"/>
          <w:b/>
          <w:bCs/>
          <w:sz w:val="24"/>
          <w:szCs w:val="24"/>
          <w:u w:val="single"/>
        </w:rPr>
      </w:pPr>
    </w:p>
    <w:p w14:paraId="18385F33" w14:textId="77777777" w:rsidR="00EB4851" w:rsidRPr="004E429E" w:rsidRDefault="00EB4851" w:rsidP="00EB4851">
      <w:pPr>
        <w:pStyle w:val="PlainText"/>
        <w:numPr>
          <w:ilvl w:val="0"/>
          <w:numId w:val="33"/>
        </w:numPr>
        <w:rPr>
          <w:rFonts w:ascii="Times New Roman" w:hAnsi="Times New Roman" w:cs="Times New Roman"/>
          <w:sz w:val="28"/>
          <w:szCs w:val="21"/>
        </w:rPr>
      </w:pPr>
      <w:r w:rsidRPr="212E346A">
        <w:rPr>
          <w:rFonts w:ascii="Times New Roman" w:hAnsi="Times New Roman" w:cs="Times New Roman"/>
          <w:sz w:val="24"/>
          <w:szCs w:val="24"/>
          <w:u w:val="single"/>
        </w:rPr>
        <w:t>FUNDAMENTAL RESEARCH</w:t>
      </w:r>
      <w:r w:rsidRPr="212E346A">
        <w:rPr>
          <w:rFonts w:ascii="Times New Roman" w:hAnsi="Times New Roman" w:cs="Times New Roman"/>
          <w:b/>
          <w:bCs/>
          <w:sz w:val="24"/>
          <w:szCs w:val="24"/>
        </w:rPr>
        <w:t>.</w:t>
      </w:r>
      <w:r w:rsidRPr="212E346A">
        <w:rPr>
          <w:rFonts w:ascii="Times New Roman" w:hAnsi="Times New Roman" w:cs="Times New Roman"/>
          <w:sz w:val="24"/>
          <w:szCs w:val="24"/>
        </w:rPr>
        <w:t xml:space="preserve">  It is DoD policy that the publication of products of fundamental research will remain unrestricted to the maximum extent possible. National Security Decision Directive (NSDD) 189 defines fundamental research as follows:</w:t>
      </w:r>
    </w:p>
    <w:p w14:paraId="45A8EAF6" w14:textId="77777777" w:rsidR="00EB4851" w:rsidRPr="004E429E" w:rsidRDefault="00EB4851" w:rsidP="00EB4851">
      <w:pPr>
        <w:pStyle w:val="PlainText"/>
        <w:rPr>
          <w:rFonts w:ascii="Times New Roman" w:hAnsi="Times New Roman" w:cs="Times New Roman"/>
          <w:sz w:val="24"/>
        </w:rPr>
      </w:pPr>
    </w:p>
    <w:p w14:paraId="7C4ACB7C" w14:textId="77777777" w:rsidR="00EB4851" w:rsidRPr="004E429E" w:rsidRDefault="00EB4851" w:rsidP="00EB4851">
      <w:pPr>
        <w:pStyle w:val="PlainText"/>
        <w:ind w:left="720"/>
        <w:rPr>
          <w:rFonts w:ascii="Times New Roman" w:hAnsi="Times New Roman" w:cs="Times New Roman"/>
          <w:sz w:val="24"/>
        </w:rPr>
      </w:pPr>
      <w:r w:rsidRPr="004E429E">
        <w:rPr>
          <w:rFonts w:ascii="Times New Roman" w:hAnsi="Times New Roman" w:cs="Times New Roman"/>
          <w:sz w:val="24"/>
        </w:rPr>
        <w:t xml:space="preserve">‘Fundamental research’ means basic and applied research in science and engineering, the results of which ordinarily are published and shared broadly within the scientific community, as distinguished from proprietary research and from industrial development, design, production, and product utilization, the results of which ordinarily are restricted for proprietary or national security reasons. </w:t>
      </w:r>
    </w:p>
    <w:p w14:paraId="5C6D585E" w14:textId="77777777" w:rsidR="00EB4851" w:rsidRPr="004E429E" w:rsidRDefault="00EB4851" w:rsidP="00EB4851">
      <w:pPr>
        <w:pStyle w:val="PlainText"/>
        <w:rPr>
          <w:rFonts w:ascii="Times New Roman" w:hAnsi="Times New Roman" w:cs="Times New Roman"/>
          <w:sz w:val="24"/>
        </w:rPr>
      </w:pPr>
    </w:p>
    <w:p w14:paraId="69E405F5" w14:textId="77777777" w:rsidR="00EB4851" w:rsidRDefault="00EB4851" w:rsidP="00EB4851">
      <w:pPr>
        <w:pStyle w:val="PlainText"/>
        <w:ind w:left="720"/>
        <w:rPr>
          <w:rFonts w:ascii="Times New Roman" w:hAnsi="Times New Roman" w:cs="Times New Roman"/>
          <w:sz w:val="24"/>
        </w:rPr>
      </w:pPr>
      <w:r w:rsidRPr="004E429E">
        <w:rPr>
          <w:rFonts w:ascii="Times New Roman" w:hAnsi="Times New Roman" w:cs="Times New Roman"/>
          <w:sz w:val="24"/>
        </w:rPr>
        <w:t>As of the date of publication of this BAA, the Government cannot identify whether</w:t>
      </w:r>
      <w:r>
        <w:rPr>
          <w:rFonts w:ascii="Times New Roman" w:hAnsi="Times New Roman" w:cs="Times New Roman"/>
          <w:sz w:val="24"/>
        </w:rPr>
        <w:t xml:space="preserve"> </w:t>
      </w:r>
      <w:r w:rsidRPr="004E429E">
        <w:rPr>
          <w:rFonts w:ascii="Times New Roman" w:hAnsi="Times New Roman" w:cs="Times New Roman"/>
          <w:sz w:val="24"/>
        </w:rPr>
        <w:t>work</w:t>
      </w:r>
      <w:r>
        <w:rPr>
          <w:rFonts w:ascii="Times New Roman" w:hAnsi="Times New Roman" w:cs="Times New Roman"/>
          <w:sz w:val="24"/>
        </w:rPr>
        <w:t xml:space="preserve"> proposed</w:t>
      </w:r>
      <w:r w:rsidRPr="004E429E">
        <w:rPr>
          <w:rFonts w:ascii="Times New Roman" w:hAnsi="Times New Roman" w:cs="Times New Roman"/>
          <w:sz w:val="24"/>
        </w:rPr>
        <w:t xml:space="preserve"> under this BAA may be considered fundamental research and may award both fundamental and non-fundamental research.  Proposers should indicate in their proposal whether they believe the scope of the research included in their proposal is fundamental or not. While proposers should clearly explain the intended results of their research, the Government shall have sole discretion to select award instrument type and to negotiate all instrument terms and conditions with selectees. Appropriate clauses will be included in resultant awards for non-fundamental research to prescribe publication requirements and other restrictions, as appropriate.</w:t>
      </w:r>
    </w:p>
    <w:p w14:paraId="2DA2BCB9" w14:textId="0A4CC698" w:rsidR="00EB4851" w:rsidRDefault="00EB4851" w:rsidP="212E346A">
      <w:pPr>
        <w:pStyle w:val="PlainText"/>
        <w:rPr>
          <w:rFonts w:ascii="Times New Roman" w:hAnsi="Times New Roman" w:cs="Times New Roman"/>
          <w:sz w:val="24"/>
          <w:szCs w:val="24"/>
        </w:rPr>
      </w:pPr>
    </w:p>
    <w:p w14:paraId="25BBCDF1" w14:textId="219B48E0" w:rsidR="00EB4851" w:rsidRDefault="00EB4851" w:rsidP="212E346A">
      <w:pPr>
        <w:pStyle w:val="PlainText"/>
        <w:ind w:left="720"/>
        <w:rPr>
          <w:rFonts w:ascii="Times New Roman" w:hAnsi="Times New Roman" w:cs="Times New Roman"/>
          <w:sz w:val="24"/>
          <w:szCs w:val="24"/>
        </w:rPr>
      </w:pPr>
      <w:r w:rsidRPr="212E346A">
        <w:rPr>
          <w:rFonts w:ascii="Times New Roman" w:hAnsi="Times New Roman" w:cs="Times New Roman"/>
          <w:sz w:val="24"/>
          <w:szCs w:val="24"/>
        </w:rPr>
        <w:t xml:space="preserve">For certain research projects, it may be possible that although the research being performed by the awardee is restricted research, a sub-awardee may be conducting fundamental research.  In those cases, it is the awardee’s responsibility to explain in their proposal why its sub-awardee’s effort is fundamental research. </w:t>
      </w:r>
    </w:p>
    <w:p w14:paraId="0F3F54B4" w14:textId="77777777" w:rsidR="00EB4851" w:rsidRPr="00387645" w:rsidRDefault="00EB4851" w:rsidP="00EB4851">
      <w:pPr>
        <w:pStyle w:val="ListParagraph"/>
        <w:ind w:left="0"/>
      </w:pPr>
    </w:p>
    <w:p w14:paraId="0BA13691" w14:textId="77777777" w:rsidR="00EB4851" w:rsidRDefault="00EB4851" w:rsidP="00EB4851">
      <w:pPr>
        <w:pStyle w:val="ListParagraph"/>
        <w:numPr>
          <w:ilvl w:val="0"/>
          <w:numId w:val="33"/>
        </w:numPr>
      </w:pPr>
      <w:r w:rsidRPr="212E346A">
        <w:rPr>
          <w:b/>
          <w:bCs/>
          <w:u w:val="single"/>
        </w:rPr>
        <w:lastRenderedPageBreak/>
        <w:t>CLOUD COMPUTING.</w:t>
      </w:r>
      <w:r w:rsidRPr="212E346A">
        <w:rPr>
          <w:b/>
          <w:bCs/>
        </w:rPr>
        <w:t xml:space="preserve">  </w:t>
      </w:r>
      <w:r>
        <w:t>In accordance with DFARS Clause 252.239-7010, if the development proposed requires storage of Government, or Government-related data on the cloud, offerors need to ensure that the cloud service provider proposed has been granted Provisional Authorization by the Defense Information Systems Agency (DISA) at the level appropriate to the requirement.</w:t>
      </w:r>
    </w:p>
    <w:p w14:paraId="42B707FE" w14:textId="77777777" w:rsidR="00EB4851" w:rsidRPr="001D461C" w:rsidRDefault="00EB4851" w:rsidP="00EB4851"/>
    <w:p w14:paraId="02BA7D05" w14:textId="77777777" w:rsidR="00EB4851" w:rsidRPr="00D95F5B" w:rsidRDefault="00EB4851" w:rsidP="00EB4851"/>
    <w:p w14:paraId="475AED9A" w14:textId="77777777" w:rsidR="00EB4851" w:rsidRPr="00D95F5B" w:rsidRDefault="00EB4851" w:rsidP="00EB4851">
      <w:pPr>
        <w:rPr>
          <w:b/>
        </w:rPr>
      </w:pPr>
      <w:r w:rsidRPr="00D95F5B">
        <w:rPr>
          <w:b/>
        </w:rPr>
        <w:t xml:space="preserve">II. </w:t>
      </w:r>
      <w:r w:rsidRPr="00D95F5B">
        <w:rPr>
          <w:b/>
          <w:u w:val="single"/>
        </w:rPr>
        <w:t>AWARD INFORMATION</w:t>
      </w:r>
      <w:r w:rsidRPr="00D95F5B">
        <w:rPr>
          <w:b/>
        </w:rPr>
        <w:t>:</w:t>
      </w:r>
    </w:p>
    <w:p w14:paraId="0659FD0D" w14:textId="77777777" w:rsidR="00EB4851" w:rsidRPr="00D95F5B" w:rsidRDefault="00EB4851" w:rsidP="00EB4851"/>
    <w:p w14:paraId="454D8682" w14:textId="13EB4D4C" w:rsidR="00EB4851" w:rsidRPr="00D95F5B" w:rsidRDefault="4C107821" w:rsidP="00EB4851">
      <w:r>
        <w:t>1. FUNDING:  Total funding for this BAA is approximately $</w:t>
      </w:r>
      <w:r w:rsidR="2227C6DF">
        <w:t>9.9</w:t>
      </w:r>
      <w:r w:rsidR="59FC5467">
        <w:t>M</w:t>
      </w:r>
      <w:r>
        <w:t xml:space="preserve">.  The anticipated funding to be obligated under this BAA is broken out by fiscal year as follows: </w:t>
      </w:r>
    </w:p>
    <w:p w14:paraId="4A2DF833" w14:textId="77777777" w:rsidR="00EB4851" w:rsidRPr="00D95F5B" w:rsidRDefault="00EB4851" w:rsidP="00EB4851">
      <w:pPr>
        <w:rPr>
          <w:b/>
        </w:rPr>
      </w:pPr>
    </w:p>
    <w:p w14:paraId="6097A799" w14:textId="6F2F4007" w:rsidR="00EB4851" w:rsidRPr="00AE3925" w:rsidRDefault="4C107821" w:rsidP="637A3414">
      <w:pPr>
        <w:rPr>
          <w:b/>
          <w:bCs/>
          <w:i/>
          <w:iCs/>
        </w:rPr>
      </w:pPr>
      <w:r w:rsidRPr="637A3414">
        <w:rPr>
          <w:b/>
          <w:bCs/>
          <w:i/>
          <w:iCs/>
        </w:rPr>
        <w:t>FY</w:t>
      </w:r>
      <w:r w:rsidR="528CDA63" w:rsidRPr="637A3414">
        <w:rPr>
          <w:b/>
          <w:bCs/>
          <w:i/>
          <w:iCs/>
        </w:rPr>
        <w:t>24</w:t>
      </w:r>
      <w:r w:rsidRPr="637A3414">
        <w:rPr>
          <w:b/>
          <w:bCs/>
          <w:i/>
          <w:iCs/>
        </w:rPr>
        <w:t xml:space="preserve"> - $</w:t>
      </w:r>
      <w:r w:rsidR="14059FD3" w:rsidRPr="637A3414">
        <w:rPr>
          <w:b/>
          <w:bCs/>
          <w:i/>
          <w:iCs/>
        </w:rPr>
        <w:t>0.5</w:t>
      </w:r>
      <w:r w:rsidR="06BA8AC9" w:rsidRPr="637A3414">
        <w:rPr>
          <w:b/>
          <w:bCs/>
          <w:i/>
          <w:iCs/>
        </w:rPr>
        <w:t>M</w:t>
      </w:r>
    </w:p>
    <w:p w14:paraId="35058814" w14:textId="3A5E096B" w:rsidR="00EB4851" w:rsidRPr="00AE3925" w:rsidRDefault="4C107821" w:rsidP="637A3414">
      <w:pPr>
        <w:rPr>
          <w:b/>
          <w:bCs/>
          <w:i/>
          <w:iCs/>
        </w:rPr>
      </w:pPr>
      <w:r w:rsidRPr="637A3414">
        <w:rPr>
          <w:b/>
          <w:bCs/>
          <w:i/>
          <w:iCs/>
        </w:rPr>
        <w:t>FY</w:t>
      </w:r>
      <w:r w:rsidR="4DD1EB40" w:rsidRPr="637A3414">
        <w:rPr>
          <w:b/>
          <w:bCs/>
          <w:i/>
          <w:iCs/>
        </w:rPr>
        <w:t>25</w:t>
      </w:r>
      <w:r w:rsidRPr="637A3414">
        <w:rPr>
          <w:b/>
          <w:bCs/>
          <w:i/>
          <w:iCs/>
        </w:rPr>
        <w:t xml:space="preserve"> - $</w:t>
      </w:r>
      <w:r w:rsidR="6B452059" w:rsidRPr="637A3414">
        <w:rPr>
          <w:b/>
          <w:bCs/>
          <w:i/>
          <w:iCs/>
        </w:rPr>
        <w:t>2.</w:t>
      </w:r>
      <w:r w:rsidR="69B81A01" w:rsidRPr="637A3414">
        <w:rPr>
          <w:b/>
          <w:bCs/>
          <w:i/>
          <w:iCs/>
        </w:rPr>
        <w:t>5</w:t>
      </w:r>
      <w:r w:rsidR="6B452059" w:rsidRPr="637A3414">
        <w:rPr>
          <w:b/>
          <w:bCs/>
          <w:i/>
          <w:iCs/>
        </w:rPr>
        <w:t>M</w:t>
      </w:r>
    </w:p>
    <w:p w14:paraId="30422588" w14:textId="33A11A54" w:rsidR="00EB4851" w:rsidRPr="00AE3925" w:rsidRDefault="4C107821" w:rsidP="637A3414">
      <w:pPr>
        <w:rPr>
          <w:b/>
          <w:bCs/>
          <w:i/>
          <w:iCs/>
        </w:rPr>
      </w:pPr>
      <w:r w:rsidRPr="637A3414">
        <w:rPr>
          <w:b/>
          <w:bCs/>
          <w:i/>
          <w:iCs/>
        </w:rPr>
        <w:t>FY</w:t>
      </w:r>
      <w:r w:rsidR="7B75725E" w:rsidRPr="637A3414">
        <w:rPr>
          <w:b/>
          <w:bCs/>
          <w:i/>
          <w:iCs/>
        </w:rPr>
        <w:t>26</w:t>
      </w:r>
      <w:r w:rsidRPr="637A3414">
        <w:rPr>
          <w:b/>
          <w:bCs/>
          <w:i/>
          <w:iCs/>
        </w:rPr>
        <w:t xml:space="preserve"> </w:t>
      </w:r>
      <w:r w:rsidR="7F1080F3" w:rsidRPr="637A3414">
        <w:rPr>
          <w:b/>
          <w:bCs/>
          <w:i/>
          <w:iCs/>
        </w:rPr>
        <w:t xml:space="preserve">- </w:t>
      </w:r>
      <w:r w:rsidRPr="637A3414">
        <w:rPr>
          <w:b/>
          <w:bCs/>
          <w:i/>
          <w:iCs/>
        </w:rPr>
        <w:t>$</w:t>
      </w:r>
      <w:r w:rsidR="073E417A" w:rsidRPr="637A3414">
        <w:rPr>
          <w:b/>
          <w:bCs/>
          <w:i/>
          <w:iCs/>
        </w:rPr>
        <w:t>2</w:t>
      </w:r>
      <w:r w:rsidR="05A3CE5D" w:rsidRPr="637A3414">
        <w:rPr>
          <w:b/>
          <w:bCs/>
          <w:i/>
          <w:iCs/>
        </w:rPr>
        <w:t>.</w:t>
      </w:r>
      <w:r w:rsidR="69B81A01" w:rsidRPr="637A3414">
        <w:rPr>
          <w:b/>
          <w:bCs/>
          <w:i/>
          <w:iCs/>
        </w:rPr>
        <w:t>5</w:t>
      </w:r>
      <w:r w:rsidR="073E417A" w:rsidRPr="637A3414">
        <w:rPr>
          <w:b/>
          <w:bCs/>
          <w:i/>
          <w:iCs/>
        </w:rPr>
        <w:t>M</w:t>
      </w:r>
    </w:p>
    <w:p w14:paraId="74A6AA12" w14:textId="17012D41" w:rsidR="00EB4851" w:rsidRPr="00AE3925" w:rsidRDefault="4C107821" w:rsidP="637A3414">
      <w:pPr>
        <w:rPr>
          <w:b/>
          <w:bCs/>
          <w:i/>
          <w:iCs/>
        </w:rPr>
      </w:pPr>
      <w:r w:rsidRPr="637A3414">
        <w:rPr>
          <w:b/>
          <w:bCs/>
          <w:i/>
          <w:iCs/>
        </w:rPr>
        <w:t>FY</w:t>
      </w:r>
      <w:r w:rsidR="55525060" w:rsidRPr="637A3414">
        <w:rPr>
          <w:b/>
          <w:bCs/>
          <w:i/>
          <w:iCs/>
        </w:rPr>
        <w:t>27</w:t>
      </w:r>
      <w:r w:rsidRPr="637A3414">
        <w:rPr>
          <w:b/>
          <w:bCs/>
          <w:i/>
          <w:iCs/>
        </w:rPr>
        <w:t>- $</w:t>
      </w:r>
      <w:r w:rsidR="7A636D55" w:rsidRPr="637A3414">
        <w:rPr>
          <w:b/>
          <w:bCs/>
          <w:i/>
          <w:iCs/>
        </w:rPr>
        <w:t>2</w:t>
      </w:r>
      <w:r w:rsidR="3D9225C9" w:rsidRPr="637A3414">
        <w:rPr>
          <w:b/>
          <w:bCs/>
          <w:i/>
          <w:iCs/>
        </w:rPr>
        <w:t>.</w:t>
      </w:r>
      <w:r w:rsidR="69B81A01" w:rsidRPr="637A3414">
        <w:rPr>
          <w:b/>
          <w:bCs/>
          <w:i/>
          <w:iCs/>
        </w:rPr>
        <w:t>5</w:t>
      </w:r>
      <w:r w:rsidR="7A636D55" w:rsidRPr="637A3414">
        <w:rPr>
          <w:b/>
          <w:bCs/>
          <w:i/>
          <w:iCs/>
        </w:rPr>
        <w:t>M</w:t>
      </w:r>
    </w:p>
    <w:p w14:paraId="4AFD3E7D" w14:textId="3626399E" w:rsidR="47509521" w:rsidRDefault="58C587A0" w:rsidP="637A3414">
      <w:pPr>
        <w:rPr>
          <w:b/>
          <w:bCs/>
          <w:i/>
          <w:iCs/>
        </w:rPr>
      </w:pPr>
      <w:r w:rsidRPr="637A3414">
        <w:rPr>
          <w:b/>
          <w:bCs/>
          <w:i/>
          <w:iCs/>
        </w:rPr>
        <w:t>FY28-$1.9M</w:t>
      </w:r>
    </w:p>
    <w:p w14:paraId="604A9AD2" w14:textId="77777777" w:rsidR="00EB4851" w:rsidRPr="00823BA0" w:rsidRDefault="00EB4851" w:rsidP="637A3414">
      <w:pPr>
        <w:rPr>
          <w:b/>
          <w:bCs/>
        </w:rPr>
      </w:pPr>
    </w:p>
    <w:p w14:paraId="23B06B3F" w14:textId="0C481307" w:rsidR="00EB4851" w:rsidRPr="00D95F5B" w:rsidRDefault="4C107821" w:rsidP="637A3414">
      <w:pPr>
        <w:pStyle w:val="ListParagraph"/>
        <w:numPr>
          <w:ilvl w:val="0"/>
          <w:numId w:val="6"/>
        </w:numPr>
        <w:rPr>
          <w:b/>
          <w:bCs/>
          <w:i/>
          <w:iCs/>
          <w:color w:val="FF0000"/>
        </w:rPr>
      </w:pPr>
      <w:r>
        <w:t xml:space="preserve">Individual awards will not normally exceed </w:t>
      </w:r>
      <w:r w:rsidR="302DD63B">
        <w:t>36</w:t>
      </w:r>
      <w:r>
        <w:t xml:space="preserve"> months with dollar values normally ranging from $</w:t>
      </w:r>
      <w:r w:rsidR="7A0D19EB">
        <w:t>200K</w:t>
      </w:r>
      <w:r>
        <w:t xml:space="preserve"> to $</w:t>
      </w:r>
      <w:r w:rsidR="0F1B16CD">
        <w:t>4</w:t>
      </w:r>
      <w:r w:rsidR="0543A10D">
        <w:t>M</w:t>
      </w:r>
      <w:r>
        <w:t>.  There is also the potential to make awards up</w:t>
      </w:r>
      <w:r w:rsidR="00940331">
        <w:t xml:space="preserve"> to any dollar value, </w:t>
      </w:r>
      <w:proofErr w:type="gramStart"/>
      <w:r w:rsidR="00940331">
        <w:t>as long as</w:t>
      </w:r>
      <w:proofErr w:type="gramEnd"/>
      <w:r w:rsidR="00940331">
        <w:t xml:space="preserve"> the value does not exceed the available BAA ceiling amount.</w:t>
      </w:r>
    </w:p>
    <w:p w14:paraId="420F1D4A" w14:textId="77777777" w:rsidR="00EB4851" w:rsidRPr="00D95F5B" w:rsidRDefault="00EB4851" w:rsidP="00EB4851"/>
    <w:p w14:paraId="58E36BB6" w14:textId="77777777" w:rsidR="00EB4851" w:rsidRPr="00D95F5B" w:rsidRDefault="00EB4851" w:rsidP="00EB4851">
      <w:pPr>
        <w:numPr>
          <w:ilvl w:val="0"/>
          <w:numId w:val="6"/>
        </w:numPr>
        <w:ind w:left="630" w:hanging="450"/>
      </w:pPr>
      <w:r w:rsidRPr="00D95F5B">
        <w:t>The Government reserves the right to select all, part, or none of the proposals received, subject to the availability of funds.  All potential Offerors should be aware that due to unanticipated budget fluctuations, funding in any or all areas may change with little or no notice.</w:t>
      </w:r>
    </w:p>
    <w:p w14:paraId="27A7F811" w14:textId="77777777" w:rsidR="00EB4851" w:rsidRPr="00D95F5B" w:rsidRDefault="00EB4851" w:rsidP="00EB4851"/>
    <w:p w14:paraId="71E45A92" w14:textId="12B6EAA9" w:rsidR="00EB4851" w:rsidRDefault="00EB4851" w:rsidP="00EB4851">
      <w:r>
        <w:t>2</w:t>
      </w:r>
      <w:proofErr w:type="gramStart"/>
      <w:r>
        <w:t>.  FORM</w:t>
      </w:r>
      <w:proofErr w:type="gramEnd"/>
      <w:r w:rsidR="2033ACFF">
        <w:t>:</w:t>
      </w:r>
      <w:r>
        <w:t xml:space="preserve"> Awards </w:t>
      </w:r>
      <w:proofErr w:type="gramStart"/>
      <w:r>
        <w:t>of</w:t>
      </w:r>
      <w:proofErr w:type="gramEnd"/>
      <w:r>
        <w:t xml:space="preserve"> efforts </w:t>
      </w:r>
      <w:proofErr w:type="gramStart"/>
      <w:r>
        <w:t>as a result of</w:t>
      </w:r>
      <w:proofErr w:type="gramEnd"/>
      <w:r>
        <w:t xml:space="preserve"> this announcement will be in the form of contracts, grants, cooperative agreements or other transactions depending upon the nature of the work proposed.  </w:t>
      </w:r>
    </w:p>
    <w:p w14:paraId="0382402B" w14:textId="19351DD9" w:rsidR="00EB4851" w:rsidRPr="00D95F5B" w:rsidRDefault="00EB4851" w:rsidP="212E346A"/>
    <w:p w14:paraId="36E464F3" w14:textId="6EB73BE8" w:rsidR="00EB4851" w:rsidRPr="00D95F5B" w:rsidRDefault="00EB4851" w:rsidP="00EB4851">
      <w:r>
        <w:t xml:space="preserve">3.  BAA TYPE:  </w:t>
      </w:r>
      <w:r w:rsidRPr="212E346A">
        <w:rPr>
          <w:b/>
          <w:bCs/>
        </w:rPr>
        <w:t>This is a two-step open broad agency announcement</w:t>
      </w:r>
      <w:r>
        <w:t xml:space="preserve">.  This announcement constitutes the only solicitation.  </w:t>
      </w:r>
    </w:p>
    <w:p w14:paraId="73018202" w14:textId="77777777" w:rsidR="00EB4851" w:rsidRPr="00D95F5B" w:rsidRDefault="00EB4851" w:rsidP="00EB4851"/>
    <w:p w14:paraId="1BE58EB9" w14:textId="603FBAF7" w:rsidR="00EB4851" w:rsidRPr="00D95F5B" w:rsidRDefault="00EB4851" w:rsidP="00EB4851">
      <w:r>
        <w:t xml:space="preserve">As </w:t>
      </w:r>
      <w:r w:rsidRPr="212E346A">
        <w:rPr>
          <w:b/>
          <w:bCs/>
          <w:u w:val="single"/>
        </w:rPr>
        <w:t xml:space="preserve">STEP ONE </w:t>
      </w:r>
      <w:r>
        <w:t xml:space="preserve">– </w:t>
      </w:r>
      <w:r w:rsidRPr="212E346A">
        <w:rPr>
          <w:b/>
          <w:bCs/>
          <w:u w:val="single"/>
        </w:rPr>
        <w:t xml:space="preserve">The Government is only soliciting white papers </w:t>
      </w:r>
      <w:proofErr w:type="gramStart"/>
      <w:r w:rsidRPr="212E346A">
        <w:rPr>
          <w:b/>
          <w:bCs/>
          <w:u w:val="single"/>
        </w:rPr>
        <w:t>at this time</w:t>
      </w:r>
      <w:proofErr w:type="gramEnd"/>
      <w:r w:rsidRPr="212E346A">
        <w:rPr>
          <w:b/>
          <w:bCs/>
          <w:u w:val="single"/>
        </w:rPr>
        <w:t>.</w:t>
      </w:r>
      <w:r>
        <w:t xml:space="preserve">  </w:t>
      </w:r>
      <w:r w:rsidRPr="212E346A">
        <w:rPr>
          <w:b/>
          <w:bCs/>
        </w:rPr>
        <w:t>DO NOT SUBMIT A FORMAL PROPOSAL.</w:t>
      </w:r>
      <w:r>
        <w:t xml:space="preserve">  Those white papers found to be consistent with the intent of this BAA may be invited to submit a technical and cost proposal.  See Section VI of this announcement for further details regarding the proposal.    </w:t>
      </w:r>
    </w:p>
    <w:p w14:paraId="50A11CC2" w14:textId="77777777" w:rsidR="00EB4851" w:rsidRPr="00D95F5B" w:rsidRDefault="00EB4851" w:rsidP="00EB4851"/>
    <w:p w14:paraId="4FD9183D" w14:textId="77777777" w:rsidR="00EB4851" w:rsidRPr="00D95F5B" w:rsidRDefault="00EB4851" w:rsidP="00EB4851">
      <w:pPr>
        <w:rPr>
          <w:b/>
        </w:rPr>
      </w:pPr>
      <w:r w:rsidRPr="00D95F5B">
        <w:rPr>
          <w:b/>
        </w:rPr>
        <w:t xml:space="preserve">III. </w:t>
      </w:r>
      <w:r w:rsidRPr="00D95F5B">
        <w:rPr>
          <w:b/>
          <w:u w:val="single"/>
        </w:rPr>
        <w:t>ELIGIBILITY INFORMATION</w:t>
      </w:r>
      <w:r w:rsidRPr="00D95F5B">
        <w:rPr>
          <w:b/>
        </w:rPr>
        <w:t>:</w:t>
      </w:r>
    </w:p>
    <w:p w14:paraId="5683CD3A" w14:textId="77777777" w:rsidR="00EB4851" w:rsidRPr="00D95F5B" w:rsidRDefault="00EB4851" w:rsidP="00EB4851">
      <w:pPr>
        <w:rPr>
          <w:i/>
        </w:rPr>
      </w:pPr>
    </w:p>
    <w:p w14:paraId="19650795" w14:textId="47E6E3C3" w:rsidR="00EB4851" w:rsidRPr="00213C05" w:rsidRDefault="00EB4851" w:rsidP="00EB4851">
      <w:r>
        <w:t xml:space="preserve">1.  ELIGIBILITY:  All qualified offerors who meet the requirements of this BAA may apply.  </w:t>
      </w:r>
    </w:p>
    <w:p w14:paraId="53E0ACFA" w14:textId="77777777" w:rsidR="00EB4851" w:rsidRPr="00213C05" w:rsidRDefault="00EB4851" w:rsidP="00EB4851"/>
    <w:p w14:paraId="6D58E875" w14:textId="77777777" w:rsidR="00EB4851" w:rsidRPr="00213C05" w:rsidRDefault="00EB4851" w:rsidP="00EB4851">
      <w:r w:rsidRPr="00213C05">
        <w:t xml:space="preserve">2.  FOREIGN PARTICIPATION/ACCESS: </w:t>
      </w:r>
    </w:p>
    <w:p w14:paraId="06DAB117" w14:textId="77777777" w:rsidR="00EB4851" w:rsidRPr="00213C05" w:rsidRDefault="00EB4851" w:rsidP="00EB4851">
      <w:r w:rsidRPr="00213C05">
        <w:t xml:space="preserve"> </w:t>
      </w:r>
    </w:p>
    <w:p w14:paraId="0EC87814" w14:textId="434EA5B4" w:rsidR="00EB4851" w:rsidRPr="00CB3A6D" w:rsidRDefault="00EB4851" w:rsidP="00EB4851">
      <w:pPr>
        <w:numPr>
          <w:ilvl w:val="0"/>
          <w:numId w:val="19"/>
        </w:numPr>
        <w:spacing w:after="160" w:line="259" w:lineRule="auto"/>
      </w:pPr>
      <w:r w:rsidRPr="212E346A">
        <w:rPr>
          <w:b/>
          <w:bCs/>
        </w:rPr>
        <w:t>This BAA is closed to foreign participation.</w:t>
      </w:r>
      <w:r>
        <w:t xml:space="preserve"> This includes both foreign ownership and foreign nationals as employees or subcontractors.</w:t>
      </w:r>
    </w:p>
    <w:p w14:paraId="3BB35E00" w14:textId="77777777" w:rsidR="00EB4851" w:rsidRDefault="00EB4851" w:rsidP="00EB4851">
      <w:pPr>
        <w:numPr>
          <w:ilvl w:val="0"/>
          <w:numId w:val="19"/>
        </w:numPr>
        <w:spacing w:after="160" w:line="259" w:lineRule="auto"/>
      </w:pPr>
      <w:r>
        <w:t xml:space="preserve">Exceptions.  </w:t>
      </w:r>
    </w:p>
    <w:p w14:paraId="6B29EB75" w14:textId="1185EB98" w:rsidR="00EB4851" w:rsidRPr="00E6552D" w:rsidRDefault="00EB4851" w:rsidP="00EB4851">
      <w:pPr>
        <w:numPr>
          <w:ilvl w:val="1"/>
          <w:numId w:val="25"/>
        </w:numPr>
        <w:spacing w:after="160" w:line="259" w:lineRule="auto"/>
      </w:pPr>
      <w:r w:rsidRPr="007B4DFE">
        <w:rPr>
          <w:b/>
          <w:bCs/>
        </w:rPr>
        <w:t>Fundamental Research.</w:t>
      </w:r>
      <w:r>
        <w:t xml:space="preserve">  If the work to be performed is unclassified, fundamental research, this must be clearly identified in the white paper and/or proposal.  See Part II, </w:t>
      </w:r>
      <w:r>
        <w:lastRenderedPageBreak/>
        <w:t>Section I for more details regarding Fundamental Research.</w:t>
      </w:r>
      <w:r w:rsidRPr="212E346A">
        <w:rPr>
          <w:color w:val="C00000"/>
        </w:rPr>
        <w:t xml:space="preserve">  </w:t>
      </w:r>
      <w:r>
        <w:t xml:space="preserve">Offerors should still identify any performance by foreign nationals at any level (prime contractor or subcontractor) in their proposals.  Please specify the nationals’ country of origin, the type of visa or work permit under which they are performing and an explanation of their anticipated level of involvement.  You may be asked to provide additional information during negotiations </w:t>
      </w:r>
      <w:proofErr w:type="gramStart"/>
      <w:r>
        <w:t>in order to</w:t>
      </w:r>
      <w:proofErr w:type="gramEnd"/>
      <w:r>
        <w:t xml:space="preserve"> verify the foreign citizen’s eligibility to participate </w:t>
      </w:r>
      <w:proofErr w:type="gramStart"/>
      <w:r>
        <w:t>on</w:t>
      </w:r>
      <w:proofErr w:type="gramEnd"/>
      <w:r>
        <w:t xml:space="preserve"> any contract or assistance agreement or other transaction</w:t>
      </w:r>
      <w:r w:rsidRPr="212E346A">
        <w:rPr>
          <w:b/>
          <w:bCs/>
          <w:i/>
          <w:iCs/>
          <w:color w:val="FF0000"/>
        </w:rPr>
        <w:t xml:space="preserve"> </w:t>
      </w:r>
      <w:r>
        <w:t xml:space="preserve">issued </w:t>
      </w:r>
      <w:proofErr w:type="gramStart"/>
      <w:r>
        <w:t>as a result of</w:t>
      </w:r>
      <w:proofErr w:type="gramEnd"/>
      <w:r>
        <w:t xml:space="preserve"> this announcement</w:t>
      </w:r>
      <w:r w:rsidR="432A347F">
        <w:t>.</w:t>
      </w:r>
    </w:p>
    <w:p w14:paraId="7FA88465" w14:textId="77777777" w:rsidR="007B4DFE" w:rsidRPr="007B4DFE" w:rsidRDefault="007B4DFE" w:rsidP="00EB4851">
      <w:pPr>
        <w:numPr>
          <w:ilvl w:val="1"/>
          <w:numId w:val="25"/>
        </w:numPr>
        <w:spacing w:after="160" w:line="259" w:lineRule="auto"/>
        <w:rPr>
          <w:b/>
          <w:bCs/>
        </w:rPr>
      </w:pPr>
      <w:r w:rsidRPr="007B4DFE">
        <w:rPr>
          <w:b/>
          <w:bCs/>
        </w:rPr>
        <w:t xml:space="preserve">Foreign Ownership, Control or Influence (FOCI) companies who have mitigation plans/paperwork in place.  Proof of </w:t>
      </w:r>
      <w:r w:rsidRPr="007B4DFE">
        <w:rPr>
          <w:b/>
          <w:bCs/>
          <w:u w:val="single"/>
        </w:rPr>
        <w:t>approved</w:t>
      </w:r>
      <w:r w:rsidRPr="007B4DFE">
        <w:rPr>
          <w:b/>
          <w:bCs/>
        </w:rPr>
        <w:t xml:space="preserve"> mitigation documentation must be provided to Amber </w:t>
      </w:r>
      <w:proofErr w:type="spellStart"/>
      <w:r w:rsidRPr="007B4DFE">
        <w:rPr>
          <w:b/>
          <w:bCs/>
        </w:rPr>
        <w:t>Buckley,</w:t>
      </w:r>
      <w:proofErr w:type="spellEnd"/>
      <w:r w:rsidRPr="007B4DFE">
        <w:rPr>
          <w:b/>
          <w:bCs/>
        </w:rPr>
        <w:t xml:space="preserve"> Contracting Officer, at </w:t>
      </w:r>
      <w:hyperlink r:id="rId12" w:tgtFrame="_blank" w:history="1">
        <w:r w:rsidRPr="007B4DFE">
          <w:rPr>
            <w:rStyle w:val="Hyperlink"/>
            <w:b/>
            <w:bCs/>
          </w:rPr>
          <w:t>Amber.Buckley@us.af.mil</w:t>
        </w:r>
      </w:hyperlink>
      <w:r w:rsidRPr="007B4DFE">
        <w:rPr>
          <w:b/>
          <w:bCs/>
        </w:rPr>
        <w:t xml:space="preserve"> prior to submitting a white paper and/or a proposal. Defense Counterintelligence Security Agency (DCSA) approved mitigation documentation includes one of the following: Board Resolution; Security Control Agreement; Special Security Agreement; Proxy Agreement; and Voting Trust Agreement. In addition to providing the approved mitigation documentation, also provide your CAGE Code and your fully executed DCSA cover letter. Expect at least 10 business days for the Government to review and verify FOCI mitigation documentation. Offerors who do not hold one of the above FOCI mitigation documents must work with DCSA to obtain mitigation documentation prior to being eligible under the BAA.  For information on FOCI mitigation, contact DCSA.   Additional details can be found at: </w:t>
      </w:r>
      <w:hyperlink r:id="rId13" w:tgtFrame="_blank" w:history="1">
        <w:r w:rsidRPr="007B4DFE">
          <w:rPr>
            <w:rStyle w:val="Hyperlink"/>
            <w:b/>
            <w:bCs/>
          </w:rPr>
          <w:t>https://www.dcsa.mil/Industrial-Security/Entity-Vetting-Facility-Clearances-FOCI/Foreign-Ownership-Control-or-Influence/</w:t>
        </w:r>
      </w:hyperlink>
      <w:r w:rsidRPr="007B4DFE">
        <w:rPr>
          <w:b/>
          <w:bCs/>
        </w:rPr>
        <w:t>  </w:t>
      </w:r>
    </w:p>
    <w:p w14:paraId="6548A592" w14:textId="2EFECA6D" w:rsidR="00EB4851" w:rsidRPr="00D47225" w:rsidRDefault="00EB4851" w:rsidP="00EB4851">
      <w:pPr>
        <w:numPr>
          <w:ilvl w:val="1"/>
          <w:numId w:val="25"/>
        </w:numPr>
        <w:spacing w:after="160" w:line="259" w:lineRule="auto"/>
      </w:pPr>
      <w:r w:rsidRPr="007B4DFE">
        <w:rPr>
          <w:b/>
          <w:bCs/>
        </w:rPr>
        <w:t>Foreign Nationals as Employees or Subcontractors.</w:t>
      </w:r>
      <w:r w:rsidRPr="00D47225">
        <w:t xml:space="preserve"> </w:t>
      </w:r>
      <w:r w:rsidRPr="00352C33">
        <w:rPr>
          <w:b/>
        </w:rPr>
        <w:t>Applicable to any effort not considered Fundamental Research.</w:t>
      </w:r>
      <w:r>
        <w:t xml:space="preserve">  </w:t>
      </w:r>
      <w:r w:rsidRPr="00352C33">
        <w:rPr>
          <w:rFonts w:eastAsia="Calibri"/>
          <w:szCs w:val="21"/>
        </w:rPr>
        <w:t xml:space="preserve">Offerors are responsible for ensuring that all employees and/or subcontractors who will work on a resulting contract are eligible to do so.  Any employee who is not a U.S. citizen or a permanent resident will be restricted from working on any resultant contract unless prior approval of the Department of State or the Department of Commerce is obtained via a technical assistance agreement or an export license. Violations of these regulations can result in criminal or civil penalties. </w:t>
      </w:r>
    </w:p>
    <w:p w14:paraId="2F04BB64" w14:textId="77777777" w:rsidR="00EB4851" w:rsidRDefault="00EB4851" w:rsidP="00EB4851">
      <w:pPr>
        <w:numPr>
          <w:ilvl w:val="0"/>
          <w:numId w:val="19"/>
        </w:numPr>
      </w:pPr>
      <w:r>
        <w:t xml:space="preserve">Information Regarding Non-US Citizens Assigned to this Project </w:t>
      </w:r>
    </w:p>
    <w:p w14:paraId="6395ADA3" w14:textId="77777777" w:rsidR="00EB4851" w:rsidRDefault="00EB4851" w:rsidP="00EB4851">
      <w:pPr>
        <w:ind w:left="240"/>
      </w:pPr>
    </w:p>
    <w:p w14:paraId="00333CE8" w14:textId="3DE4B8CA" w:rsidR="00EB4851" w:rsidRDefault="00EB4851" w:rsidP="00EB4851">
      <w:pPr>
        <w:numPr>
          <w:ilvl w:val="1"/>
          <w:numId w:val="4"/>
        </w:numPr>
      </w:pPr>
      <w:r>
        <w:t xml:space="preserve">Contractor employees requiring access to USAF bases, AFRL facilities, and/or access to U.S. Government Information Technology (IT) networks in connection with the work on contracts, assistance instruments or other transactions awarded under this BAA </w:t>
      </w:r>
      <w:r w:rsidRPr="212E346A">
        <w:rPr>
          <w:b/>
          <w:bCs/>
        </w:rPr>
        <w:t>must be U.S. citizens</w:t>
      </w:r>
      <w:r>
        <w:t xml:space="preserve">.  </w:t>
      </w:r>
      <w:proofErr w:type="gramStart"/>
      <w:r>
        <w:t>For the purpose of</w:t>
      </w:r>
      <w:proofErr w:type="gramEnd"/>
      <w:r>
        <w:t xml:space="preserve"> base and network access, possession of a permanent resident card ("Green Card") does not equate to U.S. citizenship.  This requirement does not apply to foreign nationals approved by the U.S. Department of Defense or U.S. State Department under international personnel exchange agreements with foreign governments.  It also does not apply to dual citizens who possess US citizenship, to include Naturalized citizens.  Any waivers to this requirement must be granted in writing by the Contracting Officer prior to providing access.  Specific format for waiver request will be provided upon request to the Contracting Officer.  The above requirements are in addition to any other contract requirements related to obtaining a Common Access Card (CAC). </w:t>
      </w:r>
    </w:p>
    <w:p w14:paraId="48B438F8" w14:textId="77777777" w:rsidR="00EB4851" w:rsidRDefault="00EB4851" w:rsidP="00EB4851">
      <w:pPr>
        <w:ind w:left="1320"/>
      </w:pPr>
    </w:p>
    <w:p w14:paraId="44FA4DC6" w14:textId="77777777" w:rsidR="00EB4851" w:rsidRPr="00E32031" w:rsidRDefault="00EB4851" w:rsidP="00EB4851">
      <w:pPr>
        <w:numPr>
          <w:ilvl w:val="1"/>
          <w:numId w:val="4"/>
        </w:numPr>
      </w:pPr>
      <w:r>
        <w:t>For the purposes of Paragraph 1, it</w:t>
      </w:r>
      <w:r w:rsidRPr="00E32031">
        <w:t xml:space="preserve"> an IT network/system does not require AFRL to endorse a contractor's application to said network/system </w:t>
      </w:r>
      <w:proofErr w:type="gramStart"/>
      <w:r w:rsidRPr="00E32031">
        <w:t>in order to</w:t>
      </w:r>
      <w:proofErr w:type="gramEnd"/>
      <w:r w:rsidRPr="00E32031">
        <w:t xml:space="preserve"> gain access, the </w:t>
      </w:r>
      <w:r w:rsidRPr="00E32031">
        <w:lastRenderedPageBreak/>
        <w:t xml:space="preserve">organization operating the IT network/system is responsible for controlling access to its system.  If an IT network/system requires a U.S. Government sponsor to endorse the application </w:t>
      </w:r>
      <w:proofErr w:type="gramStart"/>
      <w:r w:rsidRPr="00E32031">
        <w:t>in order for</w:t>
      </w:r>
      <w:proofErr w:type="gramEnd"/>
      <w:r w:rsidRPr="00E32031">
        <w:t xml:space="preserve"> access to the IT network/system, AFRL will only endorse the following types of applications, consistent with the requirements above:</w:t>
      </w:r>
    </w:p>
    <w:p w14:paraId="51867853" w14:textId="77777777" w:rsidR="00EB4851" w:rsidRPr="00E32031" w:rsidRDefault="00EB4851" w:rsidP="00EB4851">
      <w:pPr>
        <w:ind w:left="600"/>
      </w:pPr>
    </w:p>
    <w:p w14:paraId="2EC2E85D" w14:textId="15F03B35" w:rsidR="00EB4851" w:rsidRDefault="00EB4851" w:rsidP="00EB4851">
      <w:pPr>
        <w:numPr>
          <w:ilvl w:val="0"/>
          <w:numId w:val="18"/>
        </w:numPr>
        <w:ind w:left="1710"/>
      </w:pPr>
      <w:r>
        <w:t xml:space="preserve">Contractor employees who are U.S. citizens performing work under contracts, assistance instruments or other transactions awarded under this </w:t>
      </w:r>
      <w:r w:rsidR="1A79C136">
        <w:t>BAA</w:t>
      </w:r>
      <w:r>
        <w:t>.</w:t>
      </w:r>
    </w:p>
    <w:p w14:paraId="0658F3F5" w14:textId="77777777" w:rsidR="00EB4851" w:rsidRPr="00E32031" w:rsidRDefault="00EB4851" w:rsidP="00EB4851">
      <w:pPr>
        <w:numPr>
          <w:ilvl w:val="0"/>
          <w:numId w:val="18"/>
        </w:numPr>
        <w:ind w:left="1710"/>
      </w:pPr>
      <w:r w:rsidRPr="00E32031">
        <w:t>Contractor employees who are non-U.S. citizens and who have been granted a waiver.</w:t>
      </w:r>
    </w:p>
    <w:p w14:paraId="1D93AC03" w14:textId="77777777" w:rsidR="00EB4851" w:rsidRPr="00E32031" w:rsidRDefault="00EB4851" w:rsidP="00EB4851"/>
    <w:p w14:paraId="453AB6CC" w14:textId="77777777" w:rsidR="00EB4851" w:rsidRPr="00E32031" w:rsidRDefault="00EB4851" w:rsidP="00EB4851">
      <w:r w:rsidRPr="00E32031">
        <w:t>Any additional access restrictions established by the IT network/system owner apply.</w:t>
      </w:r>
    </w:p>
    <w:p w14:paraId="7883836D" w14:textId="77777777" w:rsidR="00EB4851" w:rsidRPr="00E32031" w:rsidRDefault="00EB4851" w:rsidP="00EB4851"/>
    <w:p w14:paraId="6855EC33" w14:textId="77777777" w:rsidR="00EB4851" w:rsidRPr="00E32031" w:rsidRDefault="00EB4851" w:rsidP="00EB4851"/>
    <w:p w14:paraId="43534741" w14:textId="034E1A36" w:rsidR="00EB4851" w:rsidRPr="00E32031" w:rsidRDefault="00EB4851" w:rsidP="00EB4851">
      <w:r>
        <w:t xml:space="preserve">3. </w:t>
      </w:r>
      <w:r w:rsidRPr="212E346A">
        <w:rPr>
          <w:b/>
          <w:bCs/>
        </w:rPr>
        <w:t xml:space="preserve"> FEDERALLY FUNDED RESEARCH AND DEVELOPMENT CENTERS AND GOVERNMENT ENTITIES:  </w:t>
      </w:r>
      <w:r>
        <w:t>Federally Funded Research and Development Centers (FFRDCs) and Government entities (e.g., Government/National laboratories, military educational institutions, etc.) are subject to applicable direct competition limitations and cannot propose to this</w:t>
      </w:r>
      <w:r w:rsidRPr="212E346A">
        <w:rPr>
          <w:b/>
          <w:bCs/>
        </w:rPr>
        <w:t xml:space="preserve"> </w:t>
      </w:r>
      <w:r w:rsidR="190CF2ED">
        <w:t xml:space="preserve">BAA </w:t>
      </w:r>
      <w:r>
        <w:t xml:space="preserve">in any capacity unless they meet the following conditions: </w:t>
      </w:r>
    </w:p>
    <w:p w14:paraId="6CE16393" w14:textId="77777777" w:rsidR="00EB4851" w:rsidRPr="00E32031" w:rsidRDefault="00EB4851" w:rsidP="00EB4851"/>
    <w:p w14:paraId="1DB5EBE0" w14:textId="77777777" w:rsidR="00EB4851" w:rsidRPr="00E32031" w:rsidRDefault="00EB4851" w:rsidP="00EB4851">
      <w:pPr>
        <w:numPr>
          <w:ilvl w:val="0"/>
          <w:numId w:val="14"/>
        </w:numPr>
      </w:pPr>
      <w:r w:rsidRPr="00E32031">
        <w:rPr>
          <w:u w:val="single"/>
        </w:rPr>
        <w:t>FFRDCs</w:t>
      </w:r>
      <w:r w:rsidRPr="00E32031">
        <w:t xml:space="preserve">:  FFRDCs must clearly demonstrate that the proposed work is not otherwise available from the private sector; and FFRDCs must provide a letter on official letterhead from their sponsoring organization citing the specific authority establishing their eligibility to propose to Government solicitations and compete with industry, and their compliance with the associated FFRDC sponsor agreement’s terms and conditions.  This information is required for FFRDCs proposing to be prime contractors or sub-awardees. </w:t>
      </w:r>
    </w:p>
    <w:p w14:paraId="6726B262" w14:textId="77777777" w:rsidR="00EB4851" w:rsidRPr="00E32031" w:rsidRDefault="00EB4851" w:rsidP="00EB4851"/>
    <w:p w14:paraId="52965AC7" w14:textId="77777777" w:rsidR="00EB4851" w:rsidRPr="00E32031" w:rsidRDefault="00EB4851" w:rsidP="00EB4851">
      <w:pPr>
        <w:numPr>
          <w:ilvl w:val="0"/>
          <w:numId w:val="14"/>
        </w:numPr>
      </w:pPr>
      <w:r w:rsidRPr="00E32031">
        <w:rPr>
          <w:u w:val="single"/>
        </w:rPr>
        <w:t>Government Entities</w:t>
      </w:r>
      <w:r w:rsidRPr="00E32031">
        <w:t xml:space="preserve">:  Government entities must clearly demonstrate that the work is not otherwise available from the private sector and provide written documentation citing the specific statutory authority and contractual authority, if relevant, establishing their ability to propose to Government solicitations.  While 10 U.S.C.§ 2539b may be the appropriate statutory starting point for some entities, specific supporting regulatory guidance, together with evidence of agency approval, will still be required to fully establish eligibility. </w:t>
      </w:r>
    </w:p>
    <w:p w14:paraId="6D2563D3" w14:textId="77777777" w:rsidR="00EB4851" w:rsidRPr="00E32031" w:rsidRDefault="00EB4851" w:rsidP="00EB4851"/>
    <w:p w14:paraId="4E738632" w14:textId="77777777" w:rsidR="00EB4851" w:rsidRPr="00E32031" w:rsidRDefault="00EB4851" w:rsidP="00EB4851">
      <w:r w:rsidRPr="00E32031">
        <w:t>FFRDC and Government entity eligibility will be determined on a case-by-case basis; however, the burden to prove eligibility for all team members rests solely with the proposer.</w:t>
      </w:r>
    </w:p>
    <w:p w14:paraId="40EFFF69" w14:textId="77777777" w:rsidR="00EB4851" w:rsidRPr="00E32031" w:rsidRDefault="00EB4851" w:rsidP="00EB4851"/>
    <w:p w14:paraId="5226316A" w14:textId="77777777" w:rsidR="00EB4851" w:rsidRDefault="00EB4851" w:rsidP="00EB4851">
      <w:r w:rsidRPr="00E32031">
        <w:t>Government agencies interested in performing work related to this announcement should contact the Technical Point of Contact (TPOC).  If resulting discussions reveal a mutual interest, cooperation may be pursued via other vehicles.</w:t>
      </w:r>
      <w:r>
        <w:t xml:space="preserve"> </w:t>
      </w:r>
    </w:p>
    <w:p w14:paraId="1E429A48" w14:textId="77777777" w:rsidR="00EB4851" w:rsidRDefault="00EB4851" w:rsidP="00EB4851"/>
    <w:p w14:paraId="7C258FC6" w14:textId="50DD17D6" w:rsidR="00EB4851" w:rsidRDefault="00EB4851" w:rsidP="00EB4851">
      <w:r>
        <w:t xml:space="preserve"> 4. </w:t>
      </w:r>
      <w:r w:rsidRPr="212E346A">
        <w:rPr>
          <w:b/>
          <w:bCs/>
        </w:rPr>
        <w:t>ORGANIZATIONAL CONFLICTS OF INTEREST:</w:t>
      </w:r>
      <w:r>
        <w:t xml:space="preserve">  In accordance with FAR 9.5, offerors are required to identify and disclose all facts relevant to potential OCIs involving the offerors organization and any proposed team member (</w:t>
      </w:r>
      <w:proofErr w:type="spellStart"/>
      <w:r>
        <w:t>subawardee</w:t>
      </w:r>
      <w:proofErr w:type="spellEnd"/>
      <w:r>
        <w:t>, consultant). Under this Section, the offeror is responsible for providing this disclosure with each proposal submitted to the solicitation. The disclosure must include the offerors, and as applicable, proposed team member’s OCI mitigation plan. The OCI mitigation plan must include a description of the actions the offeror has taken, or intends to take, to prevent the existence of conflicting roles that might bias the offerors judgment and to prevent the offeror from having unfair competitive advantage. The OCI mitigation plan will specifically discuss the disclosed OCI in the context of each of the OCI limitations outlined in FAR 9.505-1 through FAR 9.505-4.</w:t>
      </w:r>
    </w:p>
    <w:p w14:paraId="4809940B" w14:textId="77777777" w:rsidR="00EB4851" w:rsidRDefault="00EB4851" w:rsidP="00EB4851"/>
    <w:p w14:paraId="3281403D" w14:textId="77777777" w:rsidR="00EB4851" w:rsidRDefault="00EB4851" w:rsidP="00EB4851">
      <w:r>
        <w:lastRenderedPageBreak/>
        <w:t xml:space="preserve">a. </w:t>
      </w:r>
      <w:r>
        <w:rPr>
          <w:u w:val="single"/>
        </w:rPr>
        <w:t xml:space="preserve">Agency Supplemental OCI Policy: </w:t>
      </w:r>
      <w:r>
        <w:t>In addition, AFRL has a supplemental OCI policy that prohibits contractors/performers from concurrently providing Scientific Engineering Technical Assistance (SETA), Advisory and Assistance Services (A&amp;AS) or similar support services and being a technical performer. Therefore, as part of the FAR 9.5 disclosure requirement above, an offeror must affirm whether the offeror or any proposed team member (</w:t>
      </w:r>
      <w:proofErr w:type="spellStart"/>
      <w:r>
        <w:t>subawardee</w:t>
      </w:r>
      <w:proofErr w:type="spellEnd"/>
      <w:r>
        <w:t>, consultant) is providing SETA, A&amp;AS, or similar support to any AFRL office(s) under: (a) a current award or subaward; or (b) a past award or subaward that ended within one calendar year prior to the proposal’s submission date. If SETA, A&amp;AS, or similar support is being or was provided to any AFRL office(s), the proposal must include:</w:t>
      </w:r>
    </w:p>
    <w:p w14:paraId="238A40A0" w14:textId="77777777" w:rsidR="00EB4851" w:rsidRDefault="00EB4851" w:rsidP="00EB4851">
      <w:r>
        <w:br/>
        <w:t>. The name of the AFRL office receiving the support;</w:t>
      </w:r>
      <w:r>
        <w:br/>
        <w:t>. The prime contract number;</w:t>
      </w:r>
      <w:r>
        <w:br/>
        <w:t>. Identification of proposed team member (</w:t>
      </w:r>
      <w:proofErr w:type="spellStart"/>
      <w:r>
        <w:t>subawardee</w:t>
      </w:r>
      <w:proofErr w:type="spellEnd"/>
      <w:r>
        <w:t>, consultant) providing the support; and</w:t>
      </w:r>
      <w:r>
        <w:br/>
        <w:t>. An OCI mitigation plan in accordance with FAR 9.5.</w:t>
      </w:r>
    </w:p>
    <w:p w14:paraId="09DDF326" w14:textId="77777777" w:rsidR="00EB4851" w:rsidRDefault="00EB4851" w:rsidP="00EB4851">
      <w:r>
        <w:br/>
        <w:t xml:space="preserve">b. </w:t>
      </w:r>
      <w:r>
        <w:rPr>
          <w:u w:val="single"/>
        </w:rPr>
        <w:t>Government Procedures</w:t>
      </w:r>
      <w:r>
        <w:t>: In accordance with FAR 9.503, 9.504 and 9.506, the Government will evaluate OCI mitigation plans to avoid, neutralize or mitigate potential OCI issues before award and to determine whether it is in the Government’s interest to grant a waiver. The Government will only evaluate OCI mitigation plans for proposals that are determined selectable under the solicitation evaluation criteria and funding availability. The Government may require proposers to provide additional information to assist the Government in evaluating the offerors OCI mitigation plan. If the Government determines that an offeror failed to fully disclose an OCI; or failed to provide the affirmation of AFRL support as described above; or failed to reasonably provide additional information requested by the Government to assist in evaluating the proposer’s OCI mitigation plan, the Government may reject the proposal and withdraw it from consideration for award.</w:t>
      </w:r>
    </w:p>
    <w:p w14:paraId="22C5B50D" w14:textId="77777777" w:rsidR="00EB4851" w:rsidRDefault="00EB4851" w:rsidP="00EB4851"/>
    <w:p w14:paraId="00DF2789" w14:textId="77777777" w:rsidR="007B4DFE" w:rsidRDefault="00EB4851" w:rsidP="007B4DFE">
      <w:pPr>
        <w:pStyle w:val="PlainText"/>
        <w:rPr>
          <w:rFonts w:ascii="Times New Roman" w:hAnsi="Times New Roman" w:cs="Times New Roman"/>
          <w:sz w:val="24"/>
          <w:szCs w:val="24"/>
        </w:rPr>
      </w:pPr>
      <w:bookmarkStart w:id="0" w:name="_Hlk133409660"/>
      <w:r>
        <w:rPr>
          <w:rFonts w:ascii="Times New Roman" w:hAnsi="Times New Roman" w:cs="Times New Roman"/>
          <w:sz w:val="24"/>
          <w:szCs w:val="24"/>
        </w:rPr>
        <w:t>5.</w:t>
      </w:r>
      <w:r w:rsidRPr="00A167A5">
        <w:rPr>
          <w:rFonts w:ascii="Times New Roman" w:hAnsi="Times New Roman" w:cs="Times New Roman"/>
          <w:b/>
          <w:bCs/>
          <w:sz w:val="24"/>
          <w:szCs w:val="24"/>
        </w:rPr>
        <w:t xml:space="preserve"> S&amp;T PROTECTION.</w:t>
      </w:r>
      <w:r>
        <w:rPr>
          <w:rFonts w:ascii="Times New Roman" w:hAnsi="Times New Roman" w:cs="Times New Roman"/>
          <w:sz w:val="24"/>
          <w:szCs w:val="24"/>
        </w:rPr>
        <w:t xml:space="preserve"> </w:t>
      </w:r>
      <w:bookmarkEnd w:id="0"/>
    </w:p>
    <w:p w14:paraId="6E893DEF" w14:textId="77777777" w:rsidR="007B4DFE" w:rsidRDefault="007B4DFE" w:rsidP="007B4DFE">
      <w:pPr>
        <w:pStyle w:val="PlainText"/>
        <w:rPr>
          <w:rFonts w:ascii="Times New Roman" w:hAnsi="Times New Roman" w:cs="Times New Roman"/>
          <w:sz w:val="24"/>
          <w:szCs w:val="24"/>
        </w:rPr>
      </w:pPr>
    </w:p>
    <w:p w14:paraId="45E7EF19" w14:textId="0BFC710A" w:rsidR="007B4DFE" w:rsidRPr="007B4DFE" w:rsidRDefault="007B4DFE" w:rsidP="007B4DFE">
      <w:pPr>
        <w:pStyle w:val="PlainText"/>
        <w:rPr>
          <w:rFonts w:ascii="Times New Roman" w:hAnsi="Times New Roman" w:cs="Times New Roman"/>
          <w:sz w:val="24"/>
          <w:szCs w:val="24"/>
        </w:rPr>
      </w:pPr>
      <w:r w:rsidRPr="007B4DFE">
        <w:rPr>
          <w:rFonts w:ascii="Times New Roman" w:hAnsi="Times New Roman" w:cs="Times New Roman"/>
          <w:b/>
          <w:bCs/>
          <w:sz w:val="24"/>
          <w:szCs w:val="24"/>
        </w:rPr>
        <w:t>I. Notice of Intent.</w:t>
      </w:r>
      <w:r w:rsidRPr="007B4DFE">
        <w:rPr>
          <w:rFonts w:ascii="Times New Roman" w:hAnsi="Times New Roman" w:cs="Times New Roman"/>
          <w:sz w:val="24"/>
          <w:szCs w:val="24"/>
        </w:rPr>
        <w:t> </w:t>
      </w:r>
    </w:p>
    <w:p w14:paraId="6DCC7E80" w14:textId="77777777" w:rsidR="007B4DFE" w:rsidRPr="007B4DFE" w:rsidRDefault="007B4DFE" w:rsidP="007B4DFE">
      <w:pPr>
        <w:pStyle w:val="PlainText"/>
        <w:rPr>
          <w:rFonts w:ascii="Times New Roman" w:hAnsi="Times New Roman" w:cs="Times New Roman"/>
          <w:sz w:val="24"/>
          <w:szCs w:val="24"/>
        </w:rPr>
      </w:pPr>
      <w:r w:rsidRPr="007B4DFE">
        <w:rPr>
          <w:rFonts w:ascii="Times New Roman" w:hAnsi="Times New Roman" w:cs="Times New Roman"/>
          <w:sz w:val="24"/>
          <w:szCs w:val="24"/>
        </w:rPr>
        <w:t xml:space="preserve">(a) Security Risk Review. Each proposal submission will be subject to a Security Risk Review prior to selection for award. The Security Risk Review is applied to federally funded research designed to help protect Department of the Air Force Science and Technology (S&amp;T) by identifying possible vectors of undue foreign influence. AFRL will follow all </w:t>
      </w:r>
      <w:proofErr w:type="gramStart"/>
      <w:r w:rsidRPr="007B4DFE">
        <w:rPr>
          <w:rFonts w:ascii="Times New Roman" w:hAnsi="Times New Roman" w:cs="Times New Roman"/>
          <w:sz w:val="24"/>
          <w:szCs w:val="24"/>
        </w:rPr>
        <w:t>policy</w:t>
      </w:r>
      <w:proofErr w:type="gramEnd"/>
      <w:r w:rsidRPr="007B4DFE">
        <w:rPr>
          <w:rFonts w:ascii="Times New Roman" w:hAnsi="Times New Roman" w:cs="Times New Roman"/>
          <w:sz w:val="24"/>
          <w:szCs w:val="24"/>
        </w:rPr>
        <w:t xml:space="preserve"> and procedures outlined in Air Force Research Laboratory (AFRL) Instruction AFRLI 61-113, Science and Technology Protection for the Air Force Research Laboratory and Department of the Air Force Instruction DAFI 63-101/20-101, Integrated Lifecycle Management. </w:t>
      </w:r>
    </w:p>
    <w:p w14:paraId="591DEE55" w14:textId="77777777" w:rsidR="007B4DFE" w:rsidRPr="007B4DFE" w:rsidRDefault="007B4DFE" w:rsidP="007B4DFE">
      <w:pPr>
        <w:pStyle w:val="PlainText"/>
        <w:rPr>
          <w:rFonts w:ascii="Times New Roman" w:hAnsi="Times New Roman" w:cs="Times New Roman"/>
          <w:sz w:val="24"/>
          <w:szCs w:val="24"/>
        </w:rPr>
      </w:pPr>
      <w:r w:rsidRPr="007B4DFE">
        <w:rPr>
          <w:rFonts w:ascii="Times New Roman" w:hAnsi="Times New Roman" w:cs="Times New Roman"/>
          <w:sz w:val="24"/>
          <w:szCs w:val="24"/>
        </w:rPr>
        <w:t xml:space="preserve">(b)  Security risk review for these subject proposals will be developed for all proposed Senior/Key personnel and “Covered Individuals”. These risk reviews will be based on information disclosed in a Research and Related Senior and Key Person Profile and Security Questionnaire. In addition, any accompanying or referenced documents, publicly available information, and information contained in internal U.S. Government databases will be utilized in risk reviews. Nationality or citizenship is not a factor in </w:t>
      </w:r>
      <w:proofErr w:type="gramStart"/>
      <w:r w:rsidRPr="007B4DFE">
        <w:rPr>
          <w:rFonts w:ascii="Times New Roman" w:hAnsi="Times New Roman" w:cs="Times New Roman"/>
          <w:sz w:val="24"/>
          <w:szCs w:val="24"/>
        </w:rPr>
        <w:t>the security</w:t>
      </w:r>
      <w:proofErr w:type="gramEnd"/>
      <w:r w:rsidRPr="007B4DFE">
        <w:rPr>
          <w:rFonts w:ascii="Times New Roman" w:hAnsi="Times New Roman" w:cs="Times New Roman"/>
          <w:sz w:val="24"/>
          <w:szCs w:val="24"/>
        </w:rPr>
        <w:t xml:space="preserve"> risk reviews. </w:t>
      </w:r>
    </w:p>
    <w:p w14:paraId="6C4D1A34" w14:textId="77777777" w:rsidR="007B4DFE" w:rsidRPr="007B4DFE" w:rsidRDefault="007B4DFE" w:rsidP="007B4DFE">
      <w:pPr>
        <w:pStyle w:val="PlainText"/>
        <w:rPr>
          <w:rFonts w:ascii="Times New Roman" w:hAnsi="Times New Roman" w:cs="Times New Roman"/>
          <w:sz w:val="24"/>
          <w:szCs w:val="24"/>
        </w:rPr>
      </w:pPr>
      <w:r w:rsidRPr="007B4DFE">
        <w:rPr>
          <w:rFonts w:ascii="Times New Roman" w:hAnsi="Times New Roman" w:cs="Times New Roman"/>
          <w:sz w:val="24"/>
          <w:szCs w:val="24"/>
        </w:rPr>
        <w:t>(c) When considering all external engagements, AFRL incorporates a holistic decision-making process that encompasses technical and security factors. The security review method implemented by AFRL measures risk factors to identify the appropriate Risk Acceptance Level (RAL) within the organization. The objective analysis of the security risk factors is conducted to empower AFRL’s S&amp;T leaders to make risk-informed decisions. The review process generally looks at five factors, or risk areas, but with authority for expanded review as noted in OSD R&amp;E Memorandum dated 6 Jun 2023. The potential security risk factors are set forth below: </w:t>
      </w:r>
    </w:p>
    <w:p w14:paraId="64F3293C" w14:textId="77777777" w:rsidR="007B4DFE" w:rsidRPr="007B4DFE" w:rsidRDefault="007B4DFE" w:rsidP="007B4DFE">
      <w:pPr>
        <w:pStyle w:val="PlainText"/>
        <w:rPr>
          <w:rFonts w:ascii="Times New Roman" w:hAnsi="Times New Roman" w:cs="Times New Roman"/>
          <w:sz w:val="24"/>
          <w:szCs w:val="24"/>
        </w:rPr>
      </w:pPr>
      <w:r w:rsidRPr="007B4DFE">
        <w:rPr>
          <w:rFonts w:ascii="Times New Roman" w:hAnsi="Times New Roman" w:cs="Times New Roman"/>
          <w:sz w:val="24"/>
          <w:szCs w:val="24"/>
        </w:rPr>
        <w:t>Potential security risk factors: </w:t>
      </w:r>
    </w:p>
    <w:p w14:paraId="5F81D5CF" w14:textId="03EAFB75" w:rsidR="007B4DFE" w:rsidRPr="007B4DFE" w:rsidRDefault="007B4DFE" w:rsidP="007B4DFE">
      <w:pPr>
        <w:pStyle w:val="PlainText"/>
        <w:rPr>
          <w:rFonts w:ascii="Times New Roman" w:hAnsi="Times New Roman" w:cs="Times New Roman"/>
          <w:sz w:val="24"/>
          <w:szCs w:val="24"/>
        </w:rPr>
      </w:pPr>
      <w:r w:rsidRPr="007B4DFE">
        <w:rPr>
          <w:rFonts w:ascii="Times New Roman" w:hAnsi="Times New Roman" w:cs="Times New Roman"/>
          <w:noProof/>
          <w:sz w:val="24"/>
          <w:szCs w:val="24"/>
        </w:rPr>
        <w:lastRenderedPageBreak/>
        <w:drawing>
          <wp:inline distT="0" distB="0" distL="0" distR="0" wp14:anchorId="43844F6D" wp14:editId="7D71D608">
            <wp:extent cx="6400800" cy="1003935"/>
            <wp:effectExtent l="0" t="0" r="0" b="5715"/>
            <wp:docPr id="1453751533" name="Picture 2" descr="Text&#10;&#10;Description automatically generate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10;&#10;Description automatically generated, Pictur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00800" cy="1003935"/>
                    </a:xfrm>
                    <a:prstGeom prst="rect">
                      <a:avLst/>
                    </a:prstGeom>
                    <a:noFill/>
                    <a:ln>
                      <a:noFill/>
                    </a:ln>
                  </pic:spPr>
                </pic:pic>
              </a:graphicData>
            </a:graphic>
          </wp:inline>
        </w:drawing>
      </w:r>
      <w:r w:rsidRPr="007B4DFE">
        <w:rPr>
          <w:rFonts w:ascii="Times New Roman" w:hAnsi="Times New Roman" w:cs="Times New Roman"/>
          <w:sz w:val="24"/>
          <w:szCs w:val="24"/>
        </w:rPr>
        <w:t> </w:t>
      </w:r>
    </w:p>
    <w:p w14:paraId="12F45F70" w14:textId="77777777" w:rsidR="007B4DFE" w:rsidRPr="007B4DFE" w:rsidRDefault="007B4DFE" w:rsidP="007B4DFE">
      <w:pPr>
        <w:pStyle w:val="PlainText"/>
        <w:rPr>
          <w:rFonts w:ascii="Times New Roman" w:hAnsi="Times New Roman" w:cs="Times New Roman"/>
          <w:sz w:val="24"/>
          <w:szCs w:val="24"/>
        </w:rPr>
      </w:pPr>
      <w:r w:rsidRPr="007B4DFE">
        <w:rPr>
          <w:rFonts w:ascii="Times New Roman" w:hAnsi="Times New Roman" w:cs="Times New Roman"/>
          <w:b/>
          <w:bCs/>
          <w:sz w:val="24"/>
          <w:szCs w:val="24"/>
        </w:rPr>
        <w:t>II. Actions Required by Applicants/Recipients at proposal submission.</w:t>
      </w:r>
      <w:r w:rsidRPr="007B4DFE">
        <w:rPr>
          <w:rFonts w:ascii="Times New Roman" w:hAnsi="Times New Roman" w:cs="Times New Roman"/>
          <w:sz w:val="24"/>
          <w:szCs w:val="24"/>
        </w:rPr>
        <w:t> </w:t>
      </w:r>
    </w:p>
    <w:p w14:paraId="43FDFB1E" w14:textId="77777777" w:rsidR="007B4DFE" w:rsidRPr="007B4DFE" w:rsidRDefault="007B4DFE" w:rsidP="007B4DFE">
      <w:pPr>
        <w:pStyle w:val="PlainText"/>
        <w:rPr>
          <w:rFonts w:ascii="Times New Roman" w:hAnsi="Times New Roman" w:cs="Times New Roman"/>
          <w:sz w:val="24"/>
          <w:szCs w:val="24"/>
        </w:rPr>
      </w:pPr>
      <w:r w:rsidRPr="007B4DFE">
        <w:rPr>
          <w:rFonts w:ascii="Times New Roman" w:hAnsi="Times New Roman" w:cs="Times New Roman"/>
          <w:sz w:val="24"/>
          <w:szCs w:val="24"/>
        </w:rPr>
        <w:t>(a) In accordance with AFRLI 61-113, S&amp;T Protection, Applicants/Recipients are required to submit the following documentation with their proposal: </w:t>
      </w:r>
    </w:p>
    <w:p w14:paraId="019786EB" w14:textId="77777777" w:rsidR="007B4DFE" w:rsidRPr="007B4DFE" w:rsidRDefault="007B4DFE" w:rsidP="007B4DFE">
      <w:pPr>
        <w:pStyle w:val="PlainText"/>
        <w:rPr>
          <w:rFonts w:ascii="Times New Roman" w:hAnsi="Times New Roman" w:cs="Times New Roman"/>
          <w:sz w:val="24"/>
          <w:szCs w:val="24"/>
        </w:rPr>
      </w:pPr>
      <w:r w:rsidRPr="007B4DFE">
        <w:rPr>
          <w:rFonts w:ascii="Times New Roman" w:hAnsi="Times New Roman" w:cs="Times New Roman"/>
          <w:sz w:val="24"/>
          <w:szCs w:val="24"/>
        </w:rPr>
        <w:t>(1) Grant or Cooperative Agreement (CA) proposals: </w:t>
      </w:r>
    </w:p>
    <w:p w14:paraId="2D1F90C2" w14:textId="77777777" w:rsidR="007B4DFE" w:rsidRPr="007B4DFE" w:rsidRDefault="007B4DFE" w:rsidP="007B4DFE">
      <w:pPr>
        <w:pStyle w:val="PlainText"/>
        <w:rPr>
          <w:rFonts w:ascii="Times New Roman" w:hAnsi="Times New Roman" w:cs="Times New Roman"/>
          <w:sz w:val="24"/>
          <w:szCs w:val="24"/>
        </w:rPr>
      </w:pPr>
      <w:r w:rsidRPr="007B4DFE">
        <w:rPr>
          <w:rFonts w:ascii="Times New Roman" w:hAnsi="Times New Roman" w:cs="Times New Roman"/>
          <w:sz w:val="24"/>
          <w:szCs w:val="24"/>
        </w:rPr>
        <w:t xml:space="preserve">(i) Standard Form 424, “Research and Related Senior and Key Person Profile (Expanded) (See Appendix 1) </w:t>
      </w:r>
      <w:proofErr w:type="gramStart"/>
      <w:r w:rsidRPr="007B4DFE">
        <w:rPr>
          <w:rFonts w:ascii="Times New Roman" w:hAnsi="Times New Roman" w:cs="Times New Roman"/>
          <w:sz w:val="24"/>
          <w:szCs w:val="24"/>
        </w:rPr>
        <w:t>AND;</w:t>
      </w:r>
      <w:proofErr w:type="gramEnd"/>
      <w:r w:rsidRPr="007B4DFE">
        <w:rPr>
          <w:rFonts w:ascii="Times New Roman" w:hAnsi="Times New Roman" w:cs="Times New Roman"/>
          <w:sz w:val="24"/>
          <w:szCs w:val="24"/>
        </w:rPr>
        <w:t> </w:t>
      </w:r>
    </w:p>
    <w:p w14:paraId="2F011C79" w14:textId="77777777" w:rsidR="007B4DFE" w:rsidRPr="007B4DFE" w:rsidRDefault="007B4DFE" w:rsidP="007B4DFE">
      <w:pPr>
        <w:pStyle w:val="PlainText"/>
        <w:rPr>
          <w:rFonts w:ascii="Times New Roman" w:hAnsi="Times New Roman" w:cs="Times New Roman"/>
          <w:sz w:val="24"/>
          <w:szCs w:val="24"/>
        </w:rPr>
      </w:pPr>
      <w:r w:rsidRPr="007B4DFE">
        <w:rPr>
          <w:rFonts w:ascii="Times New Roman" w:hAnsi="Times New Roman" w:cs="Times New Roman"/>
          <w:sz w:val="24"/>
          <w:szCs w:val="24"/>
        </w:rPr>
        <w:t xml:space="preserve">(ii) Security Program Questionnaire (See Appendix 2) </w:t>
      </w:r>
      <w:proofErr w:type="gramStart"/>
      <w:r w:rsidRPr="007B4DFE">
        <w:rPr>
          <w:rFonts w:ascii="Times New Roman" w:hAnsi="Times New Roman" w:cs="Times New Roman"/>
          <w:sz w:val="24"/>
          <w:szCs w:val="24"/>
        </w:rPr>
        <w:t>AND;</w:t>
      </w:r>
      <w:proofErr w:type="gramEnd"/>
      <w:r w:rsidRPr="007B4DFE">
        <w:rPr>
          <w:rFonts w:ascii="Times New Roman" w:hAnsi="Times New Roman" w:cs="Times New Roman"/>
          <w:sz w:val="24"/>
          <w:szCs w:val="24"/>
        </w:rPr>
        <w:t> </w:t>
      </w:r>
    </w:p>
    <w:p w14:paraId="58AE2390" w14:textId="77777777" w:rsidR="007B4DFE" w:rsidRPr="007B4DFE" w:rsidRDefault="007B4DFE" w:rsidP="007B4DFE">
      <w:pPr>
        <w:pStyle w:val="PlainText"/>
        <w:rPr>
          <w:rFonts w:ascii="Times New Roman" w:hAnsi="Times New Roman" w:cs="Times New Roman"/>
          <w:sz w:val="24"/>
          <w:szCs w:val="24"/>
        </w:rPr>
      </w:pPr>
      <w:r w:rsidRPr="007B4DFE">
        <w:rPr>
          <w:rFonts w:ascii="Times New Roman" w:hAnsi="Times New Roman" w:cs="Times New Roman"/>
          <w:sz w:val="24"/>
          <w:szCs w:val="24"/>
        </w:rPr>
        <w:t>(iii) “Privacy Act Statement” consent form for each Covered Individual that is also signed by the Applicants/Recipients as that Individual’s Sponsor. (See “Covered Individual” section below, and Appendix 4) </w:t>
      </w:r>
    </w:p>
    <w:p w14:paraId="2B972617" w14:textId="77777777" w:rsidR="007B4DFE" w:rsidRPr="007B4DFE" w:rsidRDefault="007B4DFE" w:rsidP="007B4DFE">
      <w:pPr>
        <w:pStyle w:val="PlainText"/>
        <w:rPr>
          <w:rFonts w:ascii="Times New Roman" w:hAnsi="Times New Roman" w:cs="Times New Roman"/>
          <w:sz w:val="24"/>
          <w:szCs w:val="24"/>
        </w:rPr>
      </w:pPr>
      <w:r w:rsidRPr="007B4DFE">
        <w:rPr>
          <w:rFonts w:ascii="Times New Roman" w:hAnsi="Times New Roman" w:cs="Times New Roman"/>
          <w:sz w:val="24"/>
          <w:szCs w:val="24"/>
        </w:rPr>
        <w:t>(2) Contract or Other Transaction Agreement (OTA) proposals:  </w:t>
      </w:r>
    </w:p>
    <w:p w14:paraId="609D092F" w14:textId="77777777" w:rsidR="007B4DFE" w:rsidRPr="007B4DFE" w:rsidRDefault="007B4DFE" w:rsidP="007B4DFE">
      <w:pPr>
        <w:pStyle w:val="PlainText"/>
        <w:rPr>
          <w:rFonts w:ascii="Times New Roman" w:hAnsi="Times New Roman" w:cs="Times New Roman"/>
          <w:sz w:val="24"/>
          <w:szCs w:val="24"/>
        </w:rPr>
      </w:pPr>
      <w:r w:rsidRPr="007B4DFE">
        <w:rPr>
          <w:rFonts w:ascii="Times New Roman" w:hAnsi="Times New Roman" w:cs="Times New Roman"/>
          <w:sz w:val="24"/>
          <w:szCs w:val="24"/>
        </w:rPr>
        <w:t xml:space="preserve">(i) Research and Related Senior and Key Person Profile Worksheet (See Appendix 3) </w:t>
      </w:r>
      <w:proofErr w:type="gramStart"/>
      <w:r w:rsidRPr="007B4DFE">
        <w:rPr>
          <w:rFonts w:ascii="Times New Roman" w:hAnsi="Times New Roman" w:cs="Times New Roman"/>
          <w:sz w:val="24"/>
          <w:szCs w:val="24"/>
        </w:rPr>
        <w:t>AND;</w:t>
      </w:r>
      <w:proofErr w:type="gramEnd"/>
      <w:r w:rsidRPr="007B4DFE">
        <w:rPr>
          <w:rFonts w:ascii="Times New Roman" w:hAnsi="Times New Roman" w:cs="Times New Roman"/>
          <w:sz w:val="24"/>
          <w:szCs w:val="24"/>
        </w:rPr>
        <w:t> </w:t>
      </w:r>
    </w:p>
    <w:p w14:paraId="03763F32" w14:textId="77777777" w:rsidR="007B4DFE" w:rsidRPr="007B4DFE" w:rsidRDefault="007B4DFE" w:rsidP="007B4DFE">
      <w:pPr>
        <w:pStyle w:val="PlainText"/>
        <w:rPr>
          <w:rFonts w:ascii="Times New Roman" w:hAnsi="Times New Roman" w:cs="Times New Roman"/>
          <w:sz w:val="24"/>
          <w:szCs w:val="24"/>
        </w:rPr>
      </w:pPr>
      <w:r w:rsidRPr="007B4DFE">
        <w:rPr>
          <w:rFonts w:ascii="Times New Roman" w:hAnsi="Times New Roman" w:cs="Times New Roman"/>
          <w:sz w:val="24"/>
          <w:szCs w:val="24"/>
        </w:rPr>
        <w:t xml:space="preserve">(ii) Security Program Questionnaire (See Appendix 2) </w:t>
      </w:r>
      <w:proofErr w:type="gramStart"/>
      <w:r w:rsidRPr="007B4DFE">
        <w:rPr>
          <w:rFonts w:ascii="Times New Roman" w:hAnsi="Times New Roman" w:cs="Times New Roman"/>
          <w:sz w:val="24"/>
          <w:szCs w:val="24"/>
        </w:rPr>
        <w:t>AND;</w:t>
      </w:r>
      <w:proofErr w:type="gramEnd"/>
      <w:r w:rsidRPr="007B4DFE">
        <w:rPr>
          <w:rFonts w:ascii="Times New Roman" w:hAnsi="Times New Roman" w:cs="Times New Roman"/>
          <w:sz w:val="24"/>
          <w:szCs w:val="24"/>
        </w:rPr>
        <w:t> </w:t>
      </w:r>
    </w:p>
    <w:p w14:paraId="6A6322F3" w14:textId="77777777" w:rsidR="007B4DFE" w:rsidRPr="007B4DFE" w:rsidRDefault="007B4DFE" w:rsidP="007B4DFE">
      <w:pPr>
        <w:pStyle w:val="PlainText"/>
        <w:rPr>
          <w:rFonts w:ascii="Times New Roman" w:hAnsi="Times New Roman" w:cs="Times New Roman"/>
          <w:sz w:val="24"/>
          <w:szCs w:val="24"/>
        </w:rPr>
      </w:pPr>
      <w:r w:rsidRPr="007B4DFE">
        <w:rPr>
          <w:rFonts w:ascii="Times New Roman" w:hAnsi="Times New Roman" w:cs="Times New Roman"/>
          <w:sz w:val="24"/>
          <w:szCs w:val="24"/>
        </w:rPr>
        <w:t>(iii) “Privacy Act Statement” consent form for each Covered Individual that is also signed by the Applicant/Recipient as that Individual’s Sponsor. (See “Covered Individual” section below, and Appendix 4) </w:t>
      </w:r>
    </w:p>
    <w:p w14:paraId="7840B08C" w14:textId="77777777" w:rsidR="007B4DFE" w:rsidRPr="007B4DFE" w:rsidRDefault="007B4DFE" w:rsidP="007B4DFE">
      <w:pPr>
        <w:pStyle w:val="PlainText"/>
        <w:rPr>
          <w:rFonts w:ascii="Times New Roman" w:hAnsi="Times New Roman" w:cs="Times New Roman"/>
          <w:sz w:val="24"/>
          <w:szCs w:val="24"/>
        </w:rPr>
      </w:pPr>
      <w:r w:rsidRPr="007B4DFE">
        <w:rPr>
          <w:rFonts w:ascii="Times New Roman" w:hAnsi="Times New Roman" w:cs="Times New Roman"/>
          <w:sz w:val="24"/>
          <w:szCs w:val="24"/>
        </w:rPr>
        <w:t> </w:t>
      </w:r>
    </w:p>
    <w:p w14:paraId="64C1D6C1" w14:textId="77777777" w:rsidR="007B4DFE" w:rsidRPr="007B4DFE" w:rsidRDefault="007B4DFE" w:rsidP="007B4DFE">
      <w:pPr>
        <w:pStyle w:val="PlainText"/>
        <w:rPr>
          <w:rFonts w:ascii="Times New Roman" w:hAnsi="Times New Roman" w:cs="Times New Roman"/>
          <w:sz w:val="24"/>
          <w:szCs w:val="24"/>
        </w:rPr>
      </w:pPr>
      <w:r w:rsidRPr="007B4DFE">
        <w:rPr>
          <w:rFonts w:ascii="Times New Roman" w:hAnsi="Times New Roman" w:cs="Times New Roman"/>
          <w:sz w:val="24"/>
          <w:szCs w:val="24"/>
        </w:rPr>
        <w:t xml:space="preserve">The above appendices are included in the RI-Specific Proposal Preparation Instructions which can be accessed at: </w:t>
      </w:r>
      <w:hyperlink r:id="rId15" w:tgtFrame="_blank" w:history="1">
        <w:r w:rsidRPr="007B4DFE">
          <w:rPr>
            <w:rStyle w:val="Hyperlink"/>
            <w:rFonts w:ascii="Times New Roman" w:hAnsi="Times New Roman" w:cs="Times New Roman"/>
            <w:sz w:val="24"/>
            <w:szCs w:val="24"/>
          </w:rPr>
          <w:t>https://sam.gov/opp/5d5947ee115b4a49adc07d0bc4bc72e5/view</w:t>
        </w:r>
      </w:hyperlink>
      <w:r w:rsidRPr="007B4DFE">
        <w:rPr>
          <w:rFonts w:ascii="Times New Roman" w:hAnsi="Times New Roman" w:cs="Times New Roman"/>
          <w:sz w:val="24"/>
          <w:szCs w:val="24"/>
        </w:rPr>
        <w:t xml:space="preserve"> . Always reference the latest versions of these documents. Complete and submit the required forms with your proposal to the technical point of contact (TPOC) listed in Section VII-Agency Contacts </w:t>
      </w:r>
      <w:r w:rsidRPr="007B4DFE">
        <w:rPr>
          <w:rFonts w:ascii="Times New Roman" w:hAnsi="Times New Roman" w:cs="Times New Roman"/>
          <w:b/>
          <w:bCs/>
          <w:sz w:val="24"/>
          <w:szCs w:val="24"/>
        </w:rPr>
        <w:t>AND</w:t>
      </w:r>
      <w:r w:rsidRPr="007B4DFE">
        <w:rPr>
          <w:rFonts w:ascii="Times New Roman" w:hAnsi="Times New Roman" w:cs="Times New Roman"/>
          <w:sz w:val="24"/>
          <w:szCs w:val="24"/>
        </w:rPr>
        <w:t xml:space="preserve"> </w:t>
      </w:r>
      <w:hyperlink r:id="rId16" w:tgtFrame="_blank" w:history="1">
        <w:r w:rsidRPr="007B4DFE">
          <w:rPr>
            <w:rStyle w:val="Hyperlink"/>
            <w:rFonts w:ascii="Times New Roman" w:hAnsi="Times New Roman" w:cs="Times New Roman"/>
            <w:sz w:val="24"/>
            <w:szCs w:val="24"/>
          </w:rPr>
          <w:t>AFRL.RIOF@us.af.mil</w:t>
        </w:r>
      </w:hyperlink>
      <w:r w:rsidRPr="007B4DFE">
        <w:rPr>
          <w:rFonts w:ascii="Times New Roman" w:hAnsi="Times New Roman" w:cs="Times New Roman"/>
          <w:sz w:val="24"/>
          <w:szCs w:val="24"/>
        </w:rPr>
        <w:t>.  </w:t>
      </w:r>
    </w:p>
    <w:p w14:paraId="7B589987" w14:textId="77777777" w:rsidR="007B4DFE" w:rsidRPr="007B4DFE" w:rsidRDefault="007B4DFE" w:rsidP="007B4DFE">
      <w:pPr>
        <w:pStyle w:val="PlainText"/>
        <w:rPr>
          <w:rFonts w:ascii="Times New Roman" w:hAnsi="Times New Roman" w:cs="Times New Roman"/>
          <w:sz w:val="24"/>
          <w:szCs w:val="24"/>
        </w:rPr>
      </w:pPr>
      <w:r w:rsidRPr="007B4DFE">
        <w:rPr>
          <w:rFonts w:ascii="Times New Roman" w:hAnsi="Times New Roman" w:cs="Times New Roman"/>
          <w:sz w:val="24"/>
          <w:szCs w:val="24"/>
        </w:rPr>
        <w:t> </w:t>
      </w:r>
    </w:p>
    <w:p w14:paraId="1106D412" w14:textId="77777777" w:rsidR="007B4DFE" w:rsidRPr="007B4DFE" w:rsidRDefault="007B4DFE" w:rsidP="007B4DFE">
      <w:pPr>
        <w:pStyle w:val="PlainText"/>
        <w:rPr>
          <w:rFonts w:ascii="Times New Roman" w:hAnsi="Times New Roman" w:cs="Times New Roman"/>
          <w:sz w:val="24"/>
          <w:szCs w:val="24"/>
        </w:rPr>
      </w:pPr>
      <w:r w:rsidRPr="007B4DFE">
        <w:rPr>
          <w:rFonts w:ascii="Times New Roman" w:hAnsi="Times New Roman" w:cs="Times New Roman"/>
          <w:sz w:val="24"/>
          <w:szCs w:val="24"/>
        </w:rPr>
        <w:t xml:space="preserve">(3) In the event a security risk is identified, and the Government has determined the security risk exceeds the acceptable threshold, the Applicant/Recipient will be notified and informed of the decline of award. </w:t>
      </w:r>
      <w:r w:rsidRPr="007B4DFE">
        <w:rPr>
          <w:rFonts w:ascii="Times New Roman" w:hAnsi="Times New Roman" w:cs="Times New Roman"/>
          <w:b/>
          <w:bCs/>
          <w:sz w:val="24"/>
          <w:szCs w:val="24"/>
        </w:rPr>
        <w:t>The Government will only provide a general statement of the reasoning due to Government OPSEC measures.</w:t>
      </w:r>
      <w:r w:rsidRPr="007B4DFE">
        <w:rPr>
          <w:rFonts w:ascii="Times New Roman" w:hAnsi="Times New Roman" w:cs="Times New Roman"/>
          <w:sz w:val="24"/>
          <w:szCs w:val="24"/>
        </w:rPr>
        <w:t>  </w:t>
      </w:r>
    </w:p>
    <w:p w14:paraId="4E026C1D" w14:textId="77777777" w:rsidR="007B4DFE" w:rsidRPr="007B4DFE" w:rsidRDefault="007B4DFE" w:rsidP="007B4DFE">
      <w:pPr>
        <w:pStyle w:val="PlainText"/>
        <w:rPr>
          <w:rFonts w:ascii="Times New Roman" w:hAnsi="Times New Roman" w:cs="Times New Roman"/>
          <w:sz w:val="24"/>
          <w:szCs w:val="24"/>
        </w:rPr>
      </w:pPr>
      <w:r w:rsidRPr="007B4DFE">
        <w:rPr>
          <w:rFonts w:ascii="Times New Roman" w:hAnsi="Times New Roman" w:cs="Times New Roman"/>
          <w:sz w:val="24"/>
          <w:szCs w:val="24"/>
        </w:rPr>
        <w:t> </w:t>
      </w:r>
    </w:p>
    <w:p w14:paraId="4DFA6981" w14:textId="77777777" w:rsidR="007B4DFE" w:rsidRPr="007B4DFE" w:rsidRDefault="007B4DFE" w:rsidP="007B4DFE">
      <w:pPr>
        <w:pStyle w:val="PlainText"/>
        <w:rPr>
          <w:rFonts w:ascii="Times New Roman" w:hAnsi="Times New Roman" w:cs="Times New Roman"/>
          <w:sz w:val="24"/>
          <w:szCs w:val="24"/>
        </w:rPr>
      </w:pPr>
      <w:r w:rsidRPr="007B4DFE">
        <w:rPr>
          <w:rFonts w:ascii="Times New Roman" w:hAnsi="Times New Roman" w:cs="Times New Roman"/>
          <w:sz w:val="24"/>
          <w:szCs w:val="24"/>
        </w:rPr>
        <w:t>(4) By submission of the Research and Related Senior Key Person Profile and Security Program Questionnaire, the Applicant/Recipient agrees to comply with the following: </w:t>
      </w:r>
    </w:p>
    <w:p w14:paraId="1AAE52F5" w14:textId="77777777" w:rsidR="007B4DFE" w:rsidRPr="007B4DFE" w:rsidRDefault="007B4DFE" w:rsidP="007B4DFE">
      <w:pPr>
        <w:pStyle w:val="PlainText"/>
        <w:rPr>
          <w:rFonts w:ascii="Times New Roman" w:hAnsi="Times New Roman" w:cs="Times New Roman"/>
          <w:sz w:val="24"/>
          <w:szCs w:val="24"/>
        </w:rPr>
      </w:pPr>
      <w:r w:rsidRPr="007B4DFE">
        <w:rPr>
          <w:rFonts w:ascii="Times New Roman" w:hAnsi="Times New Roman" w:cs="Times New Roman"/>
          <w:sz w:val="24"/>
          <w:szCs w:val="24"/>
        </w:rPr>
        <w:t> </w:t>
      </w:r>
    </w:p>
    <w:p w14:paraId="2CB1335B" w14:textId="77777777" w:rsidR="007B4DFE" w:rsidRPr="007B4DFE" w:rsidRDefault="007B4DFE" w:rsidP="007B4DFE">
      <w:pPr>
        <w:pStyle w:val="PlainText"/>
        <w:rPr>
          <w:rFonts w:ascii="Times New Roman" w:hAnsi="Times New Roman" w:cs="Times New Roman"/>
          <w:sz w:val="24"/>
          <w:szCs w:val="24"/>
        </w:rPr>
      </w:pPr>
      <w:r w:rsidRPr="007B4DFE">
        <w:rPr>
          <w:rFonts w:ascii="Times New Roman" w:hAnsi="Times New Roman" w:cs="Times New Roman"/>
          <w:sz w:val="24"/>
          <w:szCs w:val="24"/>
        </w:rPr>
        <w:t>(i) To certify that each covered individual who is listed on the application has been made aware: 1) of all relevant disclosure requirements, including the requirements of 42 U.S.C. § 6605; and 2) that false representations may be subject to prosecution and liability pursuant to, but not limited to, 18 U.S.C. §§287, 1001, 1031 and 31 U.S.C. §§ 3729-3733 and 3802. See National Science and Technology Council Guidance for Implementing National Security Presidential Memorandum 33 (NSPM-33) on National Security Strategy for United States Government-Supported Research and Development (January 2022).  </w:t>
      </w:r>
    </w:p>
    <w:p w14:paraId="250C064C" w14:textId="77777777" w:rsidR="007B4DFE" w:rsidRPr="007B4DFE" w:rsidRDefault="007B4DFE" w:rsidP="007B4DFE">
      <w:pPr>
        <w:pStyle w:val="PlainText"/>
        <w:rPr>
          <w:rFonts w:ascii="Times New Roman" w:hAnsi="Times New Roman" w:cs="Times New Roman"/>
          <w:sz w:val="24"/>
          <w:szCs w:val="24"/>
        </w:rPr>
      </w:pPr>
      <w:r w:rsidRPr="007B4DFE">
        <w:rPr>
          <w:rFonts w:ascii="Times New Roman" w:hAnsi="Times New Roman" w:cs="Times New Roman"/>
          <w:sz w:val="24"/>
          <w:szCs w:val="24"/>
        </w:rPr>
        <w:t> </w:t>
      </w:r>
    </w:p>
    <w:p w14:paraId="595A5C16" w14:textId="77777777" w:rsidR="007B4DFE" w:rsidRPr="007B4DFE" w:rsidRDefault="007B4DFE" w:rsidP="007B4DFE">
      <w:pPr>
        <w:pStyle w:val="PlainText"/>
        <w:rPr>
          <w:rFonts w:ascii="Times New Roman" w:hAnsi="Times New Roman" w:cs="Times New Roman"/>
          <w:sz w:val="24"/>
          <w:szCs w:val="24"/>
        </w:rPr>
      </w:pPr>
      <w:r w:rsidRPr="007B4DFE">
        <w:rPr>
          <w:rFonts w:ascii="Times New Roman" w:hAnsi="Times New Roman" w:cs="Times New Roman"/>
          <w:sz w:val="24"/>
          <w:szCs w:val="24"/>
        </w:rPr>
        <w:t>(ii) To establish and maintain an internal process or procedure to address foreign talent programs, conflicts of commitment, conflicts of interest, and research integrity. </w:t>
      </w:r>
    </w:p>
    <w:p w14:paraId="7A8BA6F5" w14:textId="77777777" w:rsidR="007B4DFE" w:rsidRPr="007B4DFE" w:rsidRDefault="007B4DFE" w:rsidP="007B4DFE">
      <w:pPr>
        <w:pStyle w:val="PlainText"/>
        <w:rPr>
          <w:rFonts w:ascii="Times New Roman" w:hAnsi="Times New Roman" w:cs="Times New Roman"/>
          <w:sz w:val="24"/>
          <w:szCs w:val="24"/>
        </w:rPr>
      </w:pPr>
      <w:r w:rsidRPr="007B4DFE">
        <w:rPr>
          <w:rFonts w:ascii="Times New Roman" w:hAnsi="Times New Roman" w:cs="Times New Roman"/>
          <w:sz w:val="24"/>
          <w:szCs w:val="24"/>
        </w:rPr>
        <w:t> </w:t>
      </w:r>
    </w:p>
    <w:p w14:paraId="5A910594" w14:textId="77777777" w:rsidR="007B4DFE" w:rsidRPr="007B4DFE" w:rsidRDefault="007B4DFE" w:rsidP="007B4DFE">
      <w:pPr>
        <w:pStyle w:val="PlainText"/>
        <w:rPr>
          <w:rFonts w:ascii="Times New Roman" w:hAnsi="Times New Roman" w:cs="Times New Roman"/>
          <w:sz w:val="24"/>
          <w:szCs w:val="24"/>
        </w:rPr>
      </w:pPr>
      <w:r w:rsidRPr="007B4DFE">
        <w:rPr>
          <w:rFonts w:ascii="Times New Roman" w:hAnsi="Times New Roman" w:cs="Times New Roman"/>
          <w:sz w:val="24"/>
          <w:szCs w:val="24"/>
        </w:rPr>
        <w:lastRenderedPageBreak/>
        <w:t>(iii) To exercise due diligence to identify Foreign Components or participation by Senior/Key Personnel in Foreign Government Talent Recruitment Programs and agree to share such information with the Government upon request. </w:t>
      </w:r>
    </w:p>
    <w:p w14:paraId="088FF348" w14:textId="77777777" w:rsidR="007B4DFE" w:rsidRPr="007B4DFE" w:rsidRDefault="007B4DFE" w:rsidP="007B4DFE">
      <w:pPr>
        <w:pStyle w:val="PlainText"/>
        <w:rPr>
          <w:rFonts w:ascii="Times New Roman" w:hAnsi="Times New Roman" w:cs="Times New Roman"/>
          <w:sz w:val="24"/>
          <w:szCs w:val="24"/>
        </w:rPr>
      </w:pPr>
      <w:r w:rsidRPr="007B4DFE">
        <w:rPr>
          <w:rFonts w:ascii="Times New Roman" w:hAnsi="Times New Roman" w:cs="Times New Roman"/>
          <w:sz w:val="24"/>
          <w:szCs w:val="24"/>
        </w:rPr>
        <w:t> </w:t>
      </w:r>
    </w:p>
    <w:p w14:paraId="1574D5F1" w14:textId="77777777" w:rsidR="007B4DFE" w:rsidRPr="007B4DFE" w:rsidRDefault="007B4DFE" w:rsidP="007B4DFE">
      <w:pPr>
        <w:pStyle w:val="PlainText"/>
        <w:rPr>
          <w:rFonts w:ascii="Times New Roman" w:hAnsi="Times New Roman" w:cs="Times New Roman"/>
          <w:sz w:val="24"/>
          <w:szCs w:val="24"/>
        </w:rPr>
      </w:pPr>
      <w:r w:rsidRPr="007B4DFE">
        <w:rPr>
          <w:rFonts w:ascii="Times New Roman" w:hAnsi="Times New Roman" w:cs="Times New Roman"/>
          <w:b/>
          <w:bCs/>
          <w:sz w:val="24"/>
          <w:szCs w:val="24"/>
        </w:rPr>
        <w:t>III. Actions Required by Covered Individuals.</w:t>
      </w:r>
      <w:r w:rsidRPr="007B4DFE">
        <w:rPr>
          <w:rFonts w:ascii="Times New Roman" w:hAnsi="Times New Roman" w:cs="Times New Roman"/>
          <w:sz w:val="24"/>
          <w:szCs w:val="24"/>
        </w:rPr>
        <w:t> </w:t>
      </w:r>
    </w:p>
    <w:p w14:paraId="3E404EA6" w14:textId="77777777" w:rsidR="007B4DFE" w:rsidRPr="007B4DFE" w:rsidRDefault="007B4DFE" w:rsidP="007B4DFE">
      <w:pPr>
        <w:pStyle w:val="PlainText"/>
        <w:rPr>
          <w:rFonts w:ascii="Times New Roman" w:hAnsi="Times New Roman" w:cs="Times New Roman"/>
          <w:sz w:val="24"/>
          <w:szCs w:val="24"/>
        </w:rPr>
      </w:pPr>
      <w:r w:rsidRPr="007B4DFE">
        <w:rPr>
          <w:rFonts w:ascii="Times New Roman" w:hAnsi="Times New Roman" w:cs="Times New Roman"/>
          <w:sz w:val="24"/>
          <w:szCs w:val="24"/>
        </w:rPr>
        <w:t>(a) Covered Individual. An individual who contributes to a substantive, meaningful way to the scientific development or execution of a research and development project proposed to be carried out with a research and development award from a federal research agency; and is designated as a covered individual by the federal research agency concerned. See 42 U.S.C. § 6605, Definitions. (Note: For purposes of a Broad Agency Announcement (BAA) or Advanced Research Announcement (ARA) solicitation, “covered individuals” are all Senior/Key Personnel.) </w:t>
      </w:r>
    </w:p>
    <w:p w14:paraId="441616D0" w14:textId="77777777" w:rsidR="007B4DFE" w:rsidRPr="007B4DFE" w:rsidRDefault="007B4DFE" w:rsidP="007B4DFE">
      <w:pPr>
        <w:pStyle w:val="PlainText"/>
        <w:rPr>
          <w:rFonts w:ascii="Times New Roman" w:hAnsi="Times New Roman" w:cs="Times New Roman"/>
          <w:sz w:val="24"/>
          <w:szCs w:val="24"/>
        </w:rPr>
      </w:pPr>
      <w:r w:rsidRPr="007B4DFE">
        <w:rPr>
          <w:rFonts w:ascii="Times New Roman" w:hAnsi="Times New Roman" w:cs="Times New Roman"/>
          <w:sz w:val="24"/>
          <w:szCs w:val="24"/>
        </w:rPr>
        <w:t>(b) Federal law requires that all current and pending research support, as defined by 42 U.S.C. §6605, must be disclosed at the time of proposal submission, for all covered individuals. The Government may require an updated disclosure during the performance of any research project selected for funding. The Government will require an updated disclosure whenever covered individuals are added or identified as performing under the funded project.  </w:t>
      </w:r>
    </w:p>
    <w:p w14:paraId="1E76019B" w14:textId="77777777" w:rsidR="007B4DFE" w:rsidRPr="007B4DFE" w:rsidRDefault="007B4DFE" w:rsidP="007B4DFE">
      <w:pPr>
        <w:pStyle w:val="PlainText"/>
        <w:rPr>
          <w:rFonts w:ascii="Times New Roman" w:hAnsi="Times New Roman" w:cs="Times New Roman"/>
          <w:sz w:val="24"/>
          <w:szCs w:val="24"/>
        </w:rPr>
      </w:pPr>
      <w:r w:rsidRPr="007B4DFE">
        <w:rPr>
          <w:rFonts w:ascii="Times New Roman" w:hAnsi="Times New Roman" w:cs="Times New Roman"/>
          <w:sz w:val="24"/>
          <w:szCs w:val="24"/>
        </w:rPr>
        <w:t>(c) Covered Individuals are also required to sign the “Privacy Act Statement” and provide such signed statement to the Applicant/Recipient for submission with the proposal. (See Appendix 4) </w:t>
      </w:r>
    </w:p>
    <w:p w14:paraId="30285B32" w14:textId="77777777" w:rsidR="007B4DFE" w:rsidRPr="007B4DFE" w:rsidRDefault="007B4DFE" w:rsidP="007B4DFE">
      <w:pPr>
        <w:pStyle w:val="PlainText"/>
        <w:rPr>
          <w:rFonts w:ascii="Times New Roman" w:hAnsi="Times New Roman" w:cs="Times New Roman"/>
          <w:sz w:val="24"/>
          <w:szCs w:val="24"/>
        </w:rPr>
      </w:pPr>
      <w:r w:rsidRPr="007B4DFE">
        <w:rPr>
          <w:rFonts w:ascii="Times New Roman" w:hAnsi="Times New Roman" w:cs="Times New Roman"/>
          <w:sz w:val="24"/>
          <w:szCs w:val="24"/>
        </w:rPr>
        <w:t>(d) Any decision to accept a proposal for funding under this announcement will include full reliance on the individual’s statements. Failure to report fully and completely all sources of project support and outside positions and affiliations may be considered a material statement within the meaning of the False Claims Act, 31 U.S.C. 3729, and constitute a violation of Federal law. </w:t>
      </w:r>
    </w:p>
    <w:p w14:paraId="173F565F" w14:textId="77777777" w:rsidR="007B4DFE" w:rsidRPr="007B4DFE" w:rsidRDefault="007B4DFE" w:rsidP="007B4DFE">
      <w:pPr>
        <w:pStyle w:val="PlainText"/>
        <w:rPr>
          <w:rFonts w:ascii="Times New Roman" w:hAnsi="Times New Roman" w:cs="Times New Roman"/>
          <w:sz w:val="24"/>
          <w:szCs w:val="24"/>
        </w:rPr>
      </w:pPr>
      <w:r w:rsidRPr="007B4DFE">
        <w:rPr>
          <w:rFonts w:ascii="Times New Roman" w:hAnsi="Times New Roman" w:cs="Times New Roman"/>
          <w:sz w:val="24"/>
          <w:szCs w:val="24"/>
        </w:rPr>
        <w:t> </w:t>
      </w:r>
    </w:p>
    <w:p w14:paraId="73E13FBE" w14:textId="77777777" w:rsidR="007B4DFE" w:rsidRPr="007B4DFE" w:rsidRDefault="007B4DFE" w:rsidP="007B4DFE">
      <w:pPr>
        <w:pStyle w:val="PlainText"/>
        <w:rPr>
          <w:rFonts w:ascii="Times New Roman" w:hAnsi="Times New Roman" w:cs="Times New Roman"/>
          <w:sz w:val="24"/>
          <w:szCs w:val="24"/>
        </w:rPr>
      </w:pPr>
      <w:r w:rsidRPr="007B4DFE">
        <w:rPr>
          <w:rFonts w:ascii="Times New Roman" w:hAnsi="Times New Roman" w:cs="Times New Roman"/>
          <w:b/>
          <w:bCs/>
          <w:sz w:val="24"/>
          <w:szCs w:val="24"/>
        </w:rPr>
        <w:t>IV. Actions required by Applicants/Recipients during period of performance:</w:t>
      </w:r>
      <w:r w:rsidRPr="007B4DFE">
        <w:rPr>
          <w:rFonts w:ascii="Times New Roman" w:hAnsi="Times New Roman" w:cs="Times New Roman"/>
          <w:sz w:val="24"/>
          <w:szCs w:val="24"/>
        </w:rPr>
        <w:t> </w:t>
      </w:r>
    </w:p>
    <w:p w14:paraId="235755EF" w14:textId="77777777" w:rsidR="007B4DFE" w:rsidRPr="007B4DFE" w:rsidRDefault="007B4DFE" w:rsidP="007B4DFE">
      <w:pPr>
        <w:pStyle w:val="PlainText"/>
        <w:numPr>
          <w:ilvl w:val="0"/>
          <w:numId w:val="38"/>
        </w:numPr>
        <w:rPr>
          <w:rFonts w:ascii="Times New Roman" w:hAnsi="Times New Roman" w:cs="Times New Roman"/>
          <w:sz w:val="24"/>
          <w:szCs w:val="24"/>
        </w:rPr>
      </w:pPr>
      <w:r w:rsidRPr="007B4DFE">
        <w:rPr>
          <w:rFonts w:ascii="Times New Roman" w:hAnsi="Times New Roman" w:cs="Times New Roman"/>
          <w:sz w:val="24"/>
          <w:szCs w:val="24"/>
        </w:rPr>
        <w:t>Applicant/Recipient will be required to re-submit the Research and Related Senior and Key Person Profile as an annual requirement. In addition, whenever a new covered individual(s) is to be added or identified as performing under the funded project, a new Research and Related Senior and Key Person Profile will be required prior to continued performance.  </w:t>
      </w:r>
    </w:p>
    <w:p w14:paraId="688879AE" w14:textId="77777777" w:rsidR="007B4DFE" w:rsidRPr="007B4DFE" w:rsidRDefault="007B4DFE" w:rsidP="007B4DFE">
      <w:pPr>
        <w:pStyle w:val="PlainText"/>
        <w:rPr>
          <w:rFonts w:ascii="Times New Roman" w:hAnsi="Times New Roman" w:cs="Times New Roman"/>
          <w:sz w:val="24"/>
          <w:szCs w:val="24"/>
        </w:rPr>
      </w:pPr>
      <w:r w:rsidRPr="007B4DFE">
        <w:rPr>
          <w:rFonts w:ascii="Times New Roman" w:hAnsi="Times New Roman" w:cs="Times New Roman"/>
          <w:sz w:val="24"/>
          <w:szCs w:val="24"/>
        </w:rPr>
        <w:t> </w:t>
      </w:r>
    </w:p>
    <w:p w14:paraId="56B0E978" w14:textId="77777777" w:rsidR="007B4DFE" w:rsidRPr="007B4DFE" w:rsidRDefault="007B4DFE" w:rsidP="007B4DFE">
      <w:pPr>
        <w:pStyle w:val="PlainText"/>
        <w:numPr>
          <w:ilvl w:val="0"/>
          <w:numId w:val="39"/>
        </w:numPr>
        <w:rPr>
          <w:rFonts w:ascii="Times New Roman" w:hAnsi="Times New Roman" w:cs="Times New Roman"/>
          <w:sz w:val="24"/>
          <w:szCs w:val="24"/>
        </w:rPr>
      </w:pPr>
      <w:r w:rsidRPr="007B4DFE">
        <w:rPr>
          <w:rFonts w:ascii="Times New Roman" w:hAnsi="Times New Roman" w:cs="Times New Roman"/>
          <w:sz w:val="24"/>
          <w:szCs w:val="24"/>
        </w:rPr>
        <w:t>If, at any time, during performance of this award, the Applicant/Recipient learns that its Senior/Key Research Personnel (including any sub awardee personnel who receive this designation) are or are believed to be participants in a Foreign Government Talent Program or have Foreign Components with a strategic competitor or country with a history of targeting U.S. technology for unauthorized transfer, the Applicant/Recipient will notify the Contracting/Grants/Agreements Officer within 5 business days of awareness. </w:t>
      </w:r>
    </w:p>
    <w:p w14:paraId="5BF97197" w14:textId="77777777" w:rsidR="007B4DFE" w:rsidRPr="007B4DFE" w:rsidRDefault="007B4DFE" w:rsidP="007B4DFE">
      <w:pPr>
        <w:pStyle w:val="PlainText"/>
        <w:rPr>
          <w:rFonts w:ascii="Times New Roman" w:hAnsi="Times New Roman" w:cs="Times New Roman"/>
          <w:sz w:val="24"/>
          <w:szCs w:val="24"/>
        </w:rPr>
      </w:pPr>
      <w:r w:rsidRPr="007B4DFE">
        <w:rPr>
          <w:rFonts w:ascii="Times New Roman" w:hAnsi="Times New Roman" w:cs="Times New Roman"/>
          <w:sz w:val="24"/>
          <w:szCs w:val="24"/>
        </w:rPr>
        <w:t> </w:t>
      </w:r>
    </w:p>
    <w:p w14:paraId="0B879543" w14:textId="77777777" w:rsidR="007B4DFE" w:rsidRPr="007B4DFE" w:rsidRDefault="007B4DFE" w:rsidP="007B4DFE">
      <w:pPr>
        <w:pStyle w:val="PlainText"/>
        <w:numPr>
          <w:ilvl w:val="0"/>
          <w:numId w:val="40"/>
        </w:numPr>
        <w:rPr>
          <w:rFonts w:ascii="Times New Roman" w:hAnsi="Times New Roman" w:cs="Times New Roman"/>
          <w:sz w:val="24"/>
          <w:szCs w:val="24"/>
        </w:rPr>
      </w:pPr>
      <w:r w:rsidRPr="007B4DFE">
        <w:rPr>
          <w:rFonts w:ascii="Times New Roman" w:hAnsi="Times New Roman" w:cs="Times New Roman"/>
          <w:sz w:val="24"/>
          <w:szCs w:val="24"/>
        </w:rPr>
        <w:t>This disclosure must include specific information as to the personnel involved and the nature of the situation and relationship. The Government will review this information and conduct any necessary fact-finding or discussion with the Applicant/Recipient. The Government’s determination on disclosure may include acceptance, mitigation, or termination of the award. </w:t>
      </w:r>
    </w:p>
    <w:p w14:paraId="6B75D1ED" w14:textId="77777777" w:rsidR="007B4DFE" w:rsidRPr="007B4DFE" w:rsidRDefault="007B4DFE" w:rsidP="007B4DFE">
      <w:pPr>
        <w:pStyle w:val="PlainText"/>
        <w:rPr>
          <w:rFonts w:ascii="Times New Roman" w:hAnsi="Times New Roman" w:cs="Times New Roman"/>
          <w:sz w:val="24"/>
          <w:szCs w:val="24"/>
        </w:rPr>
      </w:pPr>
      <w:r w:rsidRPr="007B4DFE">
        <w:rPr>
          <w:rFonts w:ascii="Times New Roman" w:hAnsi="Times New Roman" w:cs="Times New Roman"/>
          <w:sz w:val="24"/>
          <w:szCs w:val="24"/>
        </w:rPr>
        <w:t> </w:t>
      </w:r>
    </w:p>
    <w:p w14:paraId="22035FD8" w14:textId="77777777" w:rsidR="007B4DFE" w:rsidRPr="007B4DFE" w:rsidRDefault="007B4DFE" w:rsidP="007B4DFE">
      <w:pPr>
        <w:pStyle w:val="PlainText"/>
        <w:numPr>
          <w:ilvl w:val="0"/>
          <w:numId w:val="41"/>
        </w:numPr>
        <w:rPr>
          <w:rFonts w:ascii="Times New Roman" w:hAnsi="Times New Roman" w:cs="Times New Roman"/>
          <w:sz w:val="24"/>
          <w:szCs w:val="24"/>
        </w:rPr>
      </w:pPr>
      <w:r w:rsidRPr="007B4DFE">
        <w:rPr>
          <w:rFonts w:ascii="Times New Roman" w:hAnsi="Times New Roman" w:cs="Times New Roman"/>
          <w:sz w:val="24"/>
          <w:szCs w:val="24"/>
        </w:rPr>
        <w:t> Failure of the Applicant/Recipient to reasonably exercise due diligence to discover or ensure that neither it nor any of its Senior/Key Research Personnel involved in the subject award are participating in a Foreign Government Talent Program or have a Foreign Component with a strategic competitor or country with a history of targeting U.S. technology for unauthorized transfer may result in the Government exercising remedies in accordance with federal law and regulation.  </w:t>
      </w:r>
    </w:p>
    <w:p w14:paraId="7680A6ED" w14:textId="77777777" w:rsidR="007B4DFE" w:rsidRPr="007B4DFE" w:rsidRDefault="007B4DFE" w:rsidP="007B4DFE">
      <w:pPr>
        <w:pStyle w:val="PlainText"/>
        <w:rPr>
          <w:rFonts w:ascii="Times New Roman" w:hAnsi="Times New Roman" w:cs="Times New Roman"/>
          <w:sz w:val="24"/>
          <w:szCs w:val="24"/>
        </w:rPr>
      </w:pPr>
      <w:r w:rsidRPr="007B4DFE">
        <w:rPr>
          <w:rFonts w:ascii="Times New Roman" w:hAnsi="Times New Roman" w:cs="Times New Roman"/>
          <w:sz w:val="24"/>
          <w:szCs w:val="24"/>
        </w:rPr>
        <w:t> </w:t>
      </w:r>
    </w:p>
    <w:p w14:paraId="4090BA8C" w14:textId="77777777" w:rsidR="007B4DFE" w:rsidRPr="007B4DFE" w:rsidRDefault="007B4DFE" w:rsidP="007B4DFE">
      <w:pPr>
        <w:pStyle w:val="PlainText"/>
        <w:numPr>
          <w:ilvl w:val="0"/>
          <w:numId w:val="42"/>
        </w:numPr>
        <w:rPr>
          <w:rFonts w:ascii="Times New Roman" w:hAnsi="Times New Roman" w:cs="Times New Roman"/>
          <w:sz w:val="24"/>
          <w:szCs w:val="24"/>
        </w:rPr>
      </w:pPr>
      <w:r w:rsidRPr="007B4DFE">
        <w:rPr>
          <w:rFonts w:ascii="Times New Roman" w:hAnsi="Times New Roman" w:cs="Times New Roman"/>
          <w:sz w:val="24"/>
          <w:szCs w:val="24"/>
        </w:rPr>
        <w:lastRenderedPageBreak/>
        <w:t xml:space="preserve"> The Applicant/Recipient will be required to </w:t>
      </w:r>
      <w:proofErr w:type="gramStart"/>
      <w:r w:rsidRPr="007B4DFE">
        <w:rPr>
          <w:rFonts w:ascii="Times New Roman" w:hAnsi="Times New Roman" w:cs="Times New Roman"/>
          <w:sz w:val="24"/>
          <w:szCs w:val="24"/>
        </w:rPr>
        <w:t>flow</w:t>
      </w:r>
      <w:proofErr w:type="gramEnd"/>
      <w:r w:rsidRPr="007B4DFE">
        <w:rPr>
          <w:rFonts w:ascii="Times New Roman" w:hAnsi="Times New Roman" w:cs="Times New Roman"/>
          <w:sz w:val="24"/>
          <w:szCs w:val="24"/>
        </w:rPr>
        <w:t xml:space="preserve"> down this provision to all sub awardees who have personnel designated as Senior/Key Research Personnel </w:t>
      </w:r>
      <w:proofErr w:type="gramStart"/>
      <w:r w:rsidRPr="007B4DFE">
        <w:rPr>
          <w:rFonts w:ascii="Times New Roman" w:hAnsi="Times New Roman" w:cs="Times New Roman"/>
          <w:sz w:val="24"/>
          <w:szCs w:val="24"/>
        </w:rPr>
        <w:t>as a result of</w:t>
      </w:r>
      <w:proofErr w:type="gramEnd"/>
      <w:r w:rsidRPr="007B4DFE">
        <w:rPr>
          <w:rFonts w:ascii="Times New Roman" w:hAnsi="Times New Roman" w:cs="Times New Roman"/>
          <w:sz w:val="24"/>
          <w:szCs w:val="24"/>
        </w:rPr>
        <w:t xml:space="preserve"> their involvement in the performance of the research. </w:t>
      </w:r>
    </w:p>
    <w:p w14:paraId="5D8FF788" w14:textId="0B516ECB" w:rsidR="00EB4851" w:rsidRDefault="00EB4851" w:rsidP="007B4DFE">
      <w:pPr>
        <w:pStyle w:val="PlainText"/>
      </w:pPr>
    </w:p>
    <w:p w14:paraId="7717F8A4" w14:textId="77777777" w:rsidR="00EB4851" w:rsidRPr="00D95F5B" w:rsidRDefault="00EB4851" w:rsidP="00EB4851"/>
    <w:p w14:paraId="6DAA9C6B" w14:textId="77777777" w:rsidR="00EB4851" w:rsidRPr="00D95F5B" w:rsidRDefault="00EB4851" w:rsidP="00EB4851">
      <w:pPr>
        <w:rPr>
          <w:b/>
        </w:rPr>
      </w:pPr>
      <w:r w:rsidRPr="00D95F5B">
        <w:rPr>
          <w:b/>
        </w:rPr>
        <w:t xml:space="preserve">IV. </w:t>
      </w:r>
      <w:r w:rsidRPr="00D95F5B">
        <w:rPr>
          <w:b/>
          <w:u w:val="single"/>
        </w:rPr>
        <w:t>APPLICATION AND SUBMISSION INFORMATION</w:t>
      </w:r>
      <w:r w:rsidRPr="00D95F5B">
        <w:rPr>
          <w:b/>
        </w:rPr>
        <w:t xml:space="preserve">:  </w:t>
      </w:r>
    </w:p>
    <w:p w14:paraId="453FA3FD" w14:textId="77777777" w:rsidR="00EB4851" w:rsidRPr="00D95F5B" w:rsidRDefault="00EB4851" w:rsidP="00EB4851">
      <w:pPr>
        <w:rPr>
          <w:b/>
        </w:rPr>
      </w:pPr>
    </w:p>
    <w:p w14:paraId="35830923" w14:textId="77777777" w:rsidR="00EB4851" w:rsidRDefault="00EB4851" w:rsidP="00EB4851">
      <w:pPr>
        <w:rPr>
          <w:b/>
        </w:rPr>
      </w:pPr>
      <w:r w:rsidRPr="00D95F5B">
        <w:rPr>
          <w:b/>
        </w:rPr>
        <w:t xml:space="preserve">All responses to this announcement must be addressed to the </w:t>
      </w:r>
      <w:r w:rsidRPr="00D95F5B">
        <w:rPr>
          <w:b/>
          <w:u w:val="single"/>
        </w:rPr>
        <w:t>Technical Point of Contact (TPOC)</w:t>
      </w:r>
      <w:r w:rsidRPr="00D95F5B">
        <w:rPr>
          <w:b/>
        </w:rPr>
        <w:t xml:space="preserve"> listed in SECTION VII.  </w:t>
      </w:r>
      <w:r w:rsidRPr="00D95F5B">
        <w:rPr>
          <w:b/>
          <w:u w:val="single"/>
        </w:rPr>
        <w:t>DO NOT</w:t>
      </w:r>
      <w:r w:rsidRPr="00D95F5B">
        <w:rPr>
          <w:b/>
        </w:rPr>
        <w:t xml:space="preserve"> send white papers to the Contracting Officer.  </w:t>
      </w:r>
    </w:p>
    <w:p w14:paraId="56F4D931" w14:textId="77777777" w:rsidR="00B653FB" w:rsidRDefault="00B653FB" w:rsidP="00EB4851">
      <w:pPr>
        <w:rPr>
          <w:b/>
        </w:rPr>
      </w:pPr>
    </w:p>
    <w:p w14:paraId="61AA9975" w14:textId="4E6E3AD3" w:rsidR="00B653FB" w:rsidRPr="00D95F5B" w:rsidRDefault="00B653FB" w:rsidP="00EB4851">
      <w:pPr>
        <w:rPr>
          <w:b/>
        </w:rPr>
      </w:pPr>
      <w:r>
        <w:rPr>
          <w:b/>
        </w:rPr>
        <w:t xml:space="preserve">All responsible sources may submit a bid, proposal, or quotation which shall be considered by the agency. </w:t>
      </w:r>
    </w:p>
    <w:p w14:paraId="7F025096" w14:textId="77777777" w:rsidR="00EB4851" w:rsidRPr="00D95F5B" w:rsidRDefault="00EB4851" w:rsidP="00EB4851"/>
    <w:p w14:paraId="5B1E485B" w14:textId="47718B02" w:rsidR="00EB4851" w:rsidRPr="00D95F5B" w:rsidRDefault="00EB4851" w:rsidP="00EB4851">
      <w:r>
        <w:t xml:space="preserve">1.  SUBMISSION DATES AND TIMES:  </w:t>
      </w:r>
    </w:p>
    <w:p w14:paraId="33CAAC2B" w14:textId="3C429A7D" w:rsidR="00EB4851" w:rsidRPr="00D95F5B" w:rsidRDefault="00EB4851" w:rsidP="00EB4851">
      <w:r>
        <w:t xml:space="preserve">It is recommended that white papers be received by </w:t>
      </w:r>
      <w:r w:rsidR="6F1C6787">
        <w:t xml:space="preserve">1700 </w:t>
      </w:r>
      <w:r>
        <w:t xml:space="preserve">PM Eastern Standard Time (EST) on the following dates to maximize the possibility of award: </w:t>
      </w:r>
    </w:p>
    <w:p w14:paraId="013BB0B0" w14:textId="77777777" w:rsidR="00EB4851" w:rsidRPr="00D95F5B" w:rsidRDefault="00EB4851" w:rsidP="00EB4851"/>
    <w:p w14:paraId="0B7C1E64" w14:textId="3D374365" w:rsidR="52D9BB5D" w:rsidRDefault="6E5A90E7" w:rsidP="637A3414">
      <w:pPr>
        <w:rPr>
          <w:b/>
          <w:bCs/>
          <w:i/>
          <w:iCs/>
        </w:rPr>
      </w:pPr>
      <w:r w:rsidRPr="637A3414">
        <w:rPr>
          <w:b/>
          <w:bCs/>
          <w:i/>
          <w:iCs/>
        </w:rPr>
        <w:t xml:space="preserve">FY24 by </w:t>
      </w:r>
      <w:r w:rsidR="31C0F556" w:rsidRPr="637A3414">
        <w:rPr>
          <w:b/>
          <w:bCs/>
          <w:i/>
          <w:iCs/>
        </w:rPr>
        <w:t>15</w:t>
      </w:r>
      <w:r w:rsidRPr="637A3414">
        <w:rPr>
          <w:b/>
          <w:bCs/>
          <w:i/>
          <w:iCs/>
        </w:rPr>
        <w:t xml:space="preserve"> Dec 2023 </w:t>
      </w:r>
    </w:p>
    <w:p w14:paraId="4F128A83" w14:textId="59566DD5" w:rsidR="52D9BB5D" w:rsidRDefault="6E5A90E7" w:rsidP="637A3414">
      <w:pPr>
        <w:rPr>
          <w:b/>
          <w:bCs/>
          <w:i/>
          <w:iCs/>
        </w:rPr>
      </w:pPr>
      <w:r w:rsidRPr="637A3414">
        <w:rPr>
          <w:b/>
          <w:bCs/>
          <w:i/>
          <w:iCs/>
        </w:rPr>
        <w:t xml:space="preserve">FY25 by 20 Sep 2024 </w:t>
      </w:r>
    </w:p>
    <w:p w14:paraId="330037C5" w14:textId="15807BD3" w:rsidR="52D9BB5D" w:rsidRDefault="6E5A90E7" w:rsidP="637A3414">
      <w:pPr>
        <w:rPr>
          <w:b/>
          <w:bCs/>
          <w:i/>
          <w:iCs/>
        </w:rPr>
      </w:pPr>
      <w:r w:rsidRPr="637A3414">
        <w:rPr>
          <w:b/>
          <w:bCs/>
          <w:i/>
          <w:iCs/>
        </w:rPr>
        <w:t xml:space="preserve">FY26 by 19 Sep 2025 </w:t>
      </w:r>
    </w:p>
    <w:p w14:paraId="06F8DE6B" w14:textId="2F005E17" w:rsidR="52D9BB5D" w:rsidRDefault="6E5A90E7" w:rsidP="637A3414">
      <w:pPr>
        <w:rPr>
          <w:b/>
          <w:bCs/>
          <w:i/>
          <w:iCs/>
        </w:rPr>
      </w:pPr>
      <w:r w:rsidRPr="637A3414">
        <w:rPr>
          <w:b/>
          <w:bCs/>
          <w:i/>
          <w:iCs/>
        </w:rPr>
        <w:t xml:space="preserve">FY27 by 18 Sep 2026 </w:t>
      </w:r>
    </w:p>
    <w:p w14:paraId="56639D46" w14:textId="6638EF8A" w:rsidR="52D9BB5D" w:rsidRDefault="6E5A90E7" w:rsidP="637A3414">
      <w:pPr>
        <w:rPr>
          <w:b/>
          <w:bCs/>
          <w:i/>
          <w:iCs/>
        </w:rPr>
      </w:pPr>
      <w:r w:rsidRPr="637A3414">
        <w:rPr>
          <w:b/>
          <w:bCs/>
          <w:i/>
          <w:iCs/>
        </w:rPr>
        <w:t>FY28 by 17 Sep 2027</w:t>
      </w:r>
    </w:p>
    <w:p w14:paraId="54FF22D6" w14:textId="77777777" w:rsidR="00EB4851" w:rsidRPr="00D95F5B" w:rsidRDefault="00EB4851" w:rsidP="637A3414">
      <w:pPr>
        <w:rPr>
          <w:b/>
          <w:bCs/>
          <w:i/>
          <w:iCs/>
        </w:rPr>
      </w:pPr>
    </w:p>
    <w:p w14:paraId="5AE852EB" w14:textId="1A43A99E" w:rsidR="00EB4851" w:rsidRPr="00D95F5B" w:rsidRDefault="4C107821" w:rsidP="637A3414">
      <w:pPr>
        <w:rPr>
          <w:b/>
          <w:bCs/>
          <w:i/>
          <w:iCs/>
          <w:highlight w:val="yellow"/>
        </w:rPr>
      </w:pPr>
      <w:r>
        <w:t xml:space="preserve">White papers will be accepted until </w:t>
      </w:r>
      <w:r w:rsidR="3D9B4FD4">
        <w:t xml:space="preserve">1700 </w:t>
      </w:r>
      <w:r>
        <w:t xml:space="preserve">PM EST on </w:t>
      </w:r>
      <w:r w:rsidR="005D539E">
        <w:rPr>
          <w:b/>
          <w:bCs/>
          <w:i/>
          <w:iCs/>
        </w:rPr>
        <w:t>1</w:t>
      </w:r>
      <w:r w:rsidR="238193EE" w:rsidRPr="637A3414">
        <w:rPr>
          <w:b/>
          <w:bCs/>
          <w:i/>
          <w:iCs/>
        </w:rPr>
        <w:t>9 Sep 2028</w:t>
      </w:r>
      <w:r w:rsidRPr="637A3414">
        <w:rPr>
          <w:i/>
          <w:iCs/>
        </w:rPr>
        <w:t>,</w:t>
      </w:r>
      <w:r>
        <w:t xml:space="preserve"> but it is less likely that funding will be available in each respective fiscal year after the dates cited.  This</w:t>
      </w:r>
      <w:r w:rsidRPr="637A3414">
        <w:rPr>
          <w:b/>
          <w:bCs/>
        </w:rPr>
        <w:t xml:space="preserve"> </w:t>
      </w:r>
      <w:r>
        <w:t xml:space="preserve">BAA will close on </w:t>
      </w:r>
      <w:r w:rsidR="005D539E">
        <w:t>1</w:t>
      </w:r>
      <w:r w:rsidR="30DEF5B0">
        <w:t>9 Sep 2028.</w:t>
      </w:r>
    </w:p>
    <w:p w14:paraId="1DC1DFC8" w14:textId="77777777" w:rsidR="00EB4851" w:rsidRPr="00D95F5B" w:rsidRDefault="00EB4851" w:rsidP="00EB4851"/>
    <w:p w14:paraId="31B2D067" w14:textId="77777777" w:rsidR="00EB4851" w:rsidRPr="00823BA0" w:rsidRDefault="00EB4851" w:rsidP="00EB4851">
      <w:r w:rsidRPr="00823BA0">
        <w:t xml:space="preserve">All offerors submitting white papers will receive notification of their evaluation results within 45 days of submission.  Offerors should email the </w:t>
      </w:r>
      <w:proofErr w:type="gramStart"/>
      <w:r w:rsidRPr="00823BA0">
        <w:t>TPOC</w:t>
      </w:r>
      <w:proofErr w:type="gramEnd"/>
      <w:r w:rsidRPr="00823BA0">
        <w:t xml:space="preserve"> and the Contracting Officer listed in Section VII, for status of their white paper(s) after 45 days, if no such correspondence has been received. </w:t>
      </w:r>
    </w:p>
    <w:p w14:paraId="33F1C39B" w14:textId="77777777" w:rsidR="00EB4851" w:rsidRPr="00D95F5B" w:rsidRDefault="00EB4851" w:rsidP="00EB4851"/>
    <w:p w14:paraId="5CE9D006" w14:textId="26D5D8EF" w:rsidR="00EB4851" w:rsidRPr="00D95F5B" w:rsidRDefault="00EB4851" w:rsidP="00EB4851">
      <w:r>
        <w:t xml:space="preserve">2.  CONTENT AND FORMAT:   Offerors are required to submit </w:t>
      </w:r>
      <w:r w:rsidR="0320925B">
        <w:t xml:space="preserve">1 </w:t>
      </w:r>
      <w:r>
        <w:t>cop</w:t>
      </w:r>
      <w:r w:rsidR="04FC294E">
        <w:t>y</w:t>
      </w:r>
      <w:r>
        <w:t xml:space="preserve"> of </w:t>
      </w:r>
      <w:r w:rsidR="00BD4F09">
        <w:t xml:space="preserve">maximum </w:t>
      </w:r>
      <w:r w:rsidR="00E86190">
        <w:t>6</w:t>
      </w:r>
      <w:r w:rsidR="00BD4F09">
        <w:t>-</w:t>
      </w:r>
      <w:r w:rsidR="00E86190">
        <w:t xml:space="preserve">page </w:t>
      </w:r>
      <w:r>
        <w:t xml:space="preserve">white paper summarizing their proposed approach/solution. The purpose of the white paper is to preclude unwarranted effort on the part of an offeror whose proposed work is not of interest to the Government. </w:t>
      </w:r>
    </w:p>
    <w:p w14:paraId="10DE514C" w14:textId="77777777" w:rsidR="00EB4851" w:rsidRPr="00D95F5B" w:rsidRDefault="00EB4851" w:rsidP="00EB4851"/>
    <w:p w14:paraId="3BE17F4A" w14:textId="77777777" w:rsidR="00EB4851" w:rsidRPr="00D95F5B" w:rsidRDefault="00EB4851" w:rsidP="00EB4851">
      <w:r w:rsidRPr="00D95F5B">
        <w:t xml:space="preserve">The white paper will be formatted as follows: </w:t>
      </w:r>
    </w:p>
    <w:p w14:paraId="54DD19F1" w14:textId="77777777" w:rsidR="00EB4851" w:rsidRPr="00D95F5B" w:rsidRDefault="00EB4851" w:rsidP="00EB4851"/>
    <w:p w14:paraId="72ABFD21" w14:textId="77777777" w:rsidR="00A96BEE" w:rsidRPr="00A96BEE" w:rsidRDefault="00A96BEE" w:rsidP="00A96BEE">
      <w:pPr>
        <w:rPr>
          <w:b/>
          <w:bCs/>
        </w:rPr>
      </w:pPr>
    </w:p>
    <w:p w14:paraId="4B1AE0BC" w14:textId="77777777" w:rsidR="00A96BEE" w:rsidRPr="00A96BEE" w:rsidRDefault="00A96BEE" w:rsidP="00A96BEE">
      <w:pPr>
        <w:numPr>
          <w:ilvl w:val="0"/>
          <w:numId w:val="36"/>
        </w:numPr>
        <w:rPr>
          <w:b/>
          <w:bCs/>
        </w:rPr>
      </w:pPr>
      <w:r w:rsidRPr="00A96BEE">
        <w:rPr>
          <w:b/>
          <w:bCs/>
          <w:u w:val="single"/>
        </w:rPr>
        <w:t>Section A</w:t>
      </w:r>
      <w:r w:rsidRPr="00A96BEE">
        <w:rPr>
          <w:b/>
          <w:bCs/>
        </w:rPr>
        <w:t xml:space="preserve">: Title, Period of Performance, Estimated Cost, Name/Address of Company, Technical and Contracting Points of Contact (phone and </w:t>
      </w:r>
      <w:proofErr w:type="gramStart"/>
      <w:r w:rsidRPr="00A96BEE">
        <w:rPr>
          <w:b/>
          <w:bCs/>
        </w:rPr>
        <w:t>email)(</w:t>
      </w:r>
      <w:proofErr w:type="gramEnd"/>
      <w:r w:rsidRPr="00A96BEE">
        <w:rPr>
          <w:b/>
          <w:bCs/>
        </w:rPr>
        <w:t>this section is NOT included in the page count</w:t>
      </w:r>
      <w:proofErr w:type="gramStart"/>
      <w:r w:rsidRPr="00A96BEE">
        <w:rPr>
          <w:b/>
          <w:bCs/>
        </w:rPr>
        <w:t>);</w:t>
      </w:r>
      <w:proofErr w:type="gramEnd"/>
      <w:r w:rsidRPr="00A96BEE">
        <w:rPr>
          <w:b/>
          <w:bCs/>
        </w:rPr>
        <w:t xml:space="preserve"> </w:t>
      </w:r>
    </w:p>
    <w:p w14:paraId="612C6EFA" w14:textId="77777777" w:rsidR="00A96BEE" w:rsidRPr="00A96BEE" w:rsidRDefault="00A96BEE" w:rsidP="00A96BEE">
      <w:pPr>
        <w:numPr>
          <w:ilvl w:val="0"/>
          <w:numId w:val="36"/>
        </w:numPr>
        <w:rPr>
          <w:b/>
          <w:bCs/>
        </w:rPr>
      </w:pPr>
      <w:r w:rsidRPr="00A96BEE">
        <w:rPr>
          <w:b/>
          <w:bCs/>
          <w:u w:val="single"/>
        </w:rPr>
        <w:t>Section B</w:t>
      </w:r>
      <w:r w:rsidRPr="00A96BEE">
        <w:rPr>
          <w:b/>
          <w:bCs/>
        </w:rPr>
        <w:t xml:space="preserve">: Task Objective; and </w:t>
      </w:r>
    </w:p>
    <w:p w14:paraId="00AA4F21" w14:textId="77777777" w:rsidR="00A96BEE" w:rsidRPr="00A96BEE" w:rsidRDefault="00A96BEE" w:rsidP="00A96BEE">
      <w:pPr>
        <w:numPr>
          <w:ilvl w:val="0"/>
          <w:numId w:val="36"/>
        </w:numPr>
        <w:rPr>
          <w:b/>
          <w:bCs/>
        </w:rPr>
      </w:pPr>
      <w:r w:rsidRPr="00A96BEE">
        <w:rPr>
          <w:b/>
          <w:bCs/>
          <w:u w:val="single"/>
        </w:rPr>
        <w:t>Section C</w:t>
      </w:r>
      <w:r w:rsidRPr="00A96BEE">
        <w:rPr>
          <w:b/>
          <w:bCs/>
        </w:rPr>
        <w:t xml:space="preserve">: Technical Summary and Proposed Deliverables. </w:t>
      </w:r>
    </w:p>
    <w:p w14:paraId="2F86D84D" w14:textId="77777777" w:rsidR="00EB4851" w:rsidRPr="00D95F5B" w:rsidRDefault="00EB4851" w:rsidP="00EB4851"/>
    <w:p w14:paraId="6324D54B" w14:textId="65697AB8" w:rsidR="00EB4851" w:rsidRPr="00D95F5B" w:rsidRDefault="4C107821" w:rsidP="212E346A">
      <w:r>
        <w:t xml:space="preserve">All white papers shall be double spaced with a font no smaller than 12 </w:t>
      </w:r>
      <w:proofErr w:type="gramStart"/>
      <w:r>
        <w:t>point</w:t>
      </w:r>
      <w:proofErr w:type="gramEnd"/>
      <w:r>
        <w:t xml:space="preserve">. </w:t>
      </w:r>
      <w:r w:rsidRPr="637A3414">
        <w:rPr>
          <w:b/>
          <w:bCs/>
        </w:rPr>
        <w:t xml:space="preserve">Please note that less than </w:t>
      </w:r>
      <w:proofErr w:type="gramStart"/>
      <w:r w:rsidRPr="637A3414">
        <w:rPr>
          <w:b/>
          <w:bCs/>
        </w:rPr>
        <w:t>12 point</w:t>
      </w:r>
      <w:proofErr w:type="gramEnd"/>
      <w:r w:rsidRPr="637A3414">
        <w:rPr>
          <w:b/>
          <w:bCs/>
        </w:rPr>
        <w:t xml:space="preserve"> font is acceptable for graphics and illustrations (as in labels and short descriptions) as long as it is readable when printed out on standard 8x11 paper.</w:t>
      </w:r>
      <w:r>
        <w:t xml:space="preserve">   In addition, respondents are requested to provide their Commercial and Government Entity (CAGE) Code, their unique entity identifier and electronic funds transfer (EFT) indicator (if applicable), an e-mail address and reference BAA </w:t>
      </w:r>
      <w:r w:rsidR="0CE56735">
        <w:t>FA8750-23-S-7009</w:t>
      </w:r>
      <w:r>
        <w:t xml:space="preserve"> with their submission. </w:t>
      </w:r>
    </w:p>
    <w:p w14:paraId="1717777D" w14:textId="77777777" w:rsidR="00EB4851" w:rsidRPr="00D95F5B" w:rsidRDefault="00EB4851" w:rsidP="00EB4851"/>
    <w:p w14:paraId="7A4FB6B2" w14:textId="77777777" w:rsidR="00EB4851" w:rsidRPr="00D95F5B" w:rsidRDefault="00EB4851" w:rsidP="00EB4851">
      <w:r w:rsidRPr="00D95F5B">
        <w:lastRenderedPageBreak/>
        <w:t xml:space="preserve">Multiple white papers within the purview of this announcement may be submitted by each offeror. If the offeror wishes to restrict its white papers, they must be marked with the restrictive language stated in FAR 15.609(a) and (b). </w:t>
      </w:r>
    </w:p>
    <w:p w14:paraId="5F20C505" w14:textId="77777777" w:rsidR="00EB4851" w:rsidRPr="00D95F5B" w:rsidRDefault="00EB4851" w:rsidP="00EB4851">
      <w:pPr>
        <w:rPr>
          <w:highlight w:val="yellow"/>
        </w:rPr>
      </w:pPr>
    </w:p>
    <w:p w14:paraId="0733427D" w14:textId="77777777" w:rsidR="00EB4851" w:rsidRPr="00D95F5B" w:rsidRDefault="00EB4851" w:rsidP="00EB4851">
      <w:pPr>
        <w:autoSpaceDE w:val="0"/>
        <w:autoSpaceDN w:val="0"/>
        <w:adjustRightInd w:val="0"/>
      </w:pPr>
      <w:r w:rsidRPr="00D95F5B">
        <w:t xml:space="preserve">3.  HANDLING AND MAILING INSTRUCTIONS:  </w:t>
      </w:r>
    </w:p>
    <w:p w14:paraId="548A5794" w14:textId="77777777" w:rsidR="00EB4851" w:rsidRPr="00D95F5B" w:rsidRDefault="00EB4851" w:rsidP="00EB4851">
      <w:pPr>
        <w:autoSpaceDE w:val="0"/>
        <w:autoSpaceDN w:val="0"/>
        <w:adjustRightInd w:val="0"/>
      </w:pPr>
    </w:p>
    <w:p w14:paraId="5A4E9C02" w14:textId="77777777" w:rsidR="00EB4851" w:rsidRPr="00D95F5B" w:rsidRDefault="00EB4851" w:rsidP="00EB4851">
      <w:pPr>
        <w:autoSpaceDE w:val="0"/>
        <w:autoSpaceDN w:val="0"/>
        <w:adjustRightInd w:val="0"/>
        <w:rPr>
          <w:lang w:bidi="en-US"/>
        </w:rPr>
      </w:pPr>
      <w:r w:rsidRPr="00D95F5B">
        <w:tab/>
        <w:t>a. CLASSIFICATION GUIDANCE. All Proposers should review the NATIONAL INDUSTRIAL SE</w:t>
      </w:r>
      <w:r>
        <w:t>CURITY PROGRAM OPERATING MANUAL</w:t>
      </w:r>
      <w:r w:rsidRPr="00D95F5B">
        <w:t xml:space="preserve"> (NISPOM), </w:t>
      </w:r>
      <w:r>
        <w:t xml:space="preserve">32 CFR Part 117, </w:t>
      </w:r>
      <w:r w:rsidRPr="00D95F5B">
        <w:t xml:space="preserve">as it provides baseline standards for the protection of classified information and prescribes the requirements concerning Contractor Developed Information under paragraph </w:t>
      </w:r>
      <w:r w:rsidRPr="0012367A">
        <w:t>§117.13</w:t>
      </w:r>
      <w:r w:rsidRPr="00D95F5B">
        <w:t xml:space="preserve">.  Defense </w:t>
      </w:r>
      <w:r>
        <w:t>Counterintelligence and Security Agency (DCSA)</w:t>
      </w:r>
      <w:r w:rsidRPr="00D95F5B">
        <w:t xml:space="preserve"> Site for the NISPOM is:  </w:t>
      </w:r>
      <w:hyperlink r:id="rId17" w:history="1">
        <w:r w:rsidRPr="00CC0DF4">
          <w:rPr>
            <w:rStyle w:val="Hyperlink"/>
          </w:rPr>
          <w:t>http://www.dcsa.mil/</w:t>
        </w:r>
      </w:hyperlink>
      <w:r w:rsidRPr="00D95F5B">
        <w:rPr>
          <w:lang w:bidi="en-US"/>
        </w:rPr>
        <w:t xml:space="preserve">.  </w:t>
      </w:r>
    </w:p>
    <w:p w14:paraId="14C3F15D" w14:textId="77777777" w:rsidR="00EB4851" w:rsidRPr="00D95F5B" w:rsidRDefault="00EB4851" w:rsidP="00EB4851">
      <w:pPr>
        <w:autoSpaceDE w:val="0"/>
        <w:autoSpaceDN w:val="0"/>
        <w:adjustRightInd w:val="0"/>
        <w:rPr>
          <w:lang w:bidi="en-US"/>
        </w:rPr>
      </w:pPr>
    </w:p>
    <w:p w14:paraId="3C0F4132" w14:textId="77777777" w:rsidR="00EB4851" w:rsidRPr="00D95F5B" w:rsidRDefault="00EB4851" w:rsidP="00EB4851">
      <w:r w:rsidRPr="00D95F5B">
        <w:t>In the event of a possible or actual compromise of classified information in the submission of your white paper or proposal, immediately but no later than 24 hours, bring this to the attention of your cognizant security authority and AFRL Rome Research Site Information Protection Office (IPO):</w:t>
      </w:r>
    </w:p>
    <w:p w14:paraId="3044EEC9" w14:textId="77777777" w:rsidR="00EB4851" w:rsidRPr="00D95F5B" w:rsidRDefault="00EB4851" w:rsidP="00EB4851"/>
    <w:p w14:paraId="5F8963C4" w14:textId="77777777" w:rsidR="00EB4851" w:rsidRPr="00D95F5B" w:rsidRDefault="00EB4851" w:rsidP="00EB4851">
      <w:r w:rsidRPr="00D95F5B">
        <w:rPr>
          <w:u w:val="single"/>
        </w:rPr>
        <w:t>Information Protection Office</w:t>
      </w:r>
      <w:r w:rsidRPr="00D95F5B">
        <w:t xml:space="preserve"> </w:t>
      </w:r>
      <w:r w:rsidRPr="00D95F5B">
        <w:rPr>
          <w:b/>
          <w:i/>
        </w:rPr>
        <w:t>(contact only if a security compromise has occurred)</w:t>
      </w:r>
    </w:p>
    <w:p w14:paraId="34C552BC" w14:textId="03A84C19" w:rsidR="00EB4851" w:rsidRPr="00D95F5B" w:rsidRDefault="00EB4851" w:rsidP="00EB4851">
      <w:pPr>
        <w:tabs>
          <w:tab w:val="left" w:pos="3060"/>
        </w:tabs>
      </w:pPr>
      <w:r w:rsidRPr="00D95F5B">
        <w:t>Monday-Friday</w:t>
      </w:r>
      <w:r w:rsidRPr="00823BA0">
        <w:t xml:space="preserve"> </w:t>
      </w:r>
      <w:r>
        <w:t>(</w:t>
      </w:r>
      <w:r w:rsidRPr="00D95F5B">
        <w:t>0730-1630</w:t>
      </w:r>
      <w:r>
        <w:t xml:space="preserve">):  </w:t>
      </w:r>
      <w:r>
        <w:tab/>
        <w:t xml:space="preserve">Call </w:t>
      </w:r>
      <w:r w:rsidRPr="00D95F5B">
        <w:t xml:space="preserve">315-330-4048 </w:t>
      </w:r>
      <w:r>
        <w:t xml:space="preserve">or </w:t>
      </w:r>
      <w:r w:rsidRPr="00D95F5B">
        <w:t xml:space="preserve">Email: </w:t>
      </w:r>
      <w:hyperlink r:id="rId18" w:history="1">
        <w:r w:rsidR="00A96BEE" w:rsidRPr="00D03997">
          <w:rPr>
            <w:rStyle w:val="Hyperlink"/>
          </w:rPr>
          <w:t>jennifer.moyer@us.af.mil</w:t>
        </w:r>
      </w:hyperlink>
      <w:r w:rsidRPr="00823BA0">
        <w:t xml:space="preserve"> </w:t>
      </w:r>
    </w:p>
    <w:p w14:paraId="1103CBCB" w14:textId="77777777" w:rsidR="00EB4851" w:rsidRPr="00D95F5B" w:rsidRDefault="00EB4851" w:rsidP="00EB4851">
      <w:pPr>
        <w:tabs>
          <w:tab w:val="left" w:pos="3060"/>
        </w:tabs>
      </w:pPr>
      <w:r w:rsidRPr="00D95F5B">
        <w:t>Evenings and Weekends</w:t>
      </w:r>
      <w:r>
        <w:t xml:space="preserve">:  </w:t>
      </w:r>
      <w:r>
        <w:tab/>
        <w:t>Call</w:t>
      </w:r>
      <w:r w:rsidRPr="00D95F5B">
        <w:t xml:space="preserve"> 315-330-2961 </w:t>
      </w:r>
    </w:p>
    <w:p w14:paraId="59ADE7E3" w14:textId="77777777" w:rsidR="00EB4851" w:rsidRPr="00D95F5B" w:rsidRDefault="00EB4851" w:rsidP="00EB4851">
      <w:pPr>
        <w:autoSpaceDE w:val="0"/>
        <w:autoSpaceDN w:val="0"/>
        <w:adjustRightInd w:val="0"/>
        <w:rPr>
          <w:lang w:bidi="en-US"/>
        </w:rPr>
      </w:pPr>
    </w:p>
    <w:p w14:paraId="7FA5D1B1" w14:textId="6E95B3D4" w:rsidR="00EB4851" w:rsidRDefault="00EB4851" w:rsidP="00EB4851">
      <w:pPr>
        <w:autoSpaceDE w:val="0"/>
        <w:autoSpaceDN w:val="0"/>
        <w:adjustRightInd w:val="0"/>
      </w:pPr>
      <w:r w:rsidRPr="00D95F5B">
        <w:tab/>
        <w:t>b.  CLASSIFIED SUBMISSIONS.  AFRL/RI</w:t>
      </w:r>
      <w:r w:rsidR="0815C6AB" w:rsidRPr="00D95F5B">
        <w:t>TG</w:t>
      </w:r>
      <w:r w:rsidRPr="00D95F5B">
        <w:t xml:space="preserve"> will accept classified responses to this</w:t>
      </w:r>
      <w:r w:rsidR="193A8A12" w:rsidRPr="00D95F5B">
        <w:t xml:space="preserve"> BAA</w:t>
      </w:r>
      <w:r w:rsidRPr="00D95F5B">
        <w:t xml:space="preserve"> when the classification is mandated by classification guidance provided by an Original Classification Authority of the U.S. Government, or when the offeror believes the work, if successful, would merit classification.  </w:t>
      </w:r>
    </w:p>
    <w:p w14:paraId="176A7887" w14:textId="77777777" w:rsidR="00EB4851" w:rsidRDefault="00EB4851" w:rsidP="00EB4851">
      <w:pPr>
        <w:autoSpaceDE w:val="0"/>
        <w:autoSpaceDN w:val="0"/>
        <w:adjustRightInd w:val="0"/>
      </w:pPr>
    </w:p>
    <w:p w14:paraId="6A9E8505" w14:textId="6CFB116D" w:rsidR="00EB4851" w:rsidRDefault="00EB4851" w:rsidP="212E346A">
      <w:pPr>
        <w:autoSpaceDE w:val="0"/>
        <w:autoSpaceDN w:val="0"/>
        <w:adjustRightInd w:val="0"/>
        <w:rPr>
          <w:b/>
          <w:bCs/>
          <w:i/>
          <w:iCs/>
        </w:rPr>
      </w:pPr>
      <w:r w:rsidRPr="212E346A">
        <w:t xml:space="preserve">Security classification guidance in the form of a DD Form 254 (DoD Contract Security Classification Specification) will not be provided at this time since AFRL is soliciting ideas only. </w:t>
      </w:r>
      <w:r w:rsidRPr="212E346A">
        <w:rPr>
          <w:b/>
          <w:bCs/>
          <w:i/>
          <w:iCs/>
        </w:rPr>
        <w:t xml:space="preserve"> </w:t>
      </w:r>
    </w:p>
    <w:p w14:paraId="6E57167C" w14:textId="77777777" w:rsidR="00EB4851" w:rsidRDefault="00EB4851" w:rsidP="00EB4851">
      <w:pPr>
        <w:autoSpaceDE w:val="0"/>
        <w:autoSpaceDN w:val="0"/>
        <w:adjustRightInd w:val="0"/>
      </w:pPr>
    </w:p>
    <w:p w14:paraId="7A6ED0E6" w14:textId="3FDB0CAD" w:rsidR="00EB4851" w:rsidRPr="00D95F5B" w:rsidRDefault="00EB4851" w:rsidP="00EB4851">
      <w:pPr>
        <w:autoSpaceDE w:val="0"/>
        <w:autoSpaceDN w:val="0"/>
        <w:adjustRightInd w:val="0"/>
      </w:pPr>
      <w:r>
        <w:t xml:space="preserve">Offerors that intend to include classified information or data in their white paper submission or who are unsure about the appropriate classification of their white papers should contact the technical point of contact listed in Section VII for guidance and direction in advance of preparation.  </w:t>
      </w:r>
    </w:p>
    <w:p w14:paraId="2414384C" w14:textId="77777777" w:rsidR="00EB4851" w:rsidRPr="00D95F5B" w:rsidRDefault="00EB4851" w:rsidP="00EB4851">
      <w:pPr>
        <w:autoSpaceDE w:val="0"/>
        <w:autoSpaceDN w:val="0"/>
        <w:adjustRightInd w:val="0"/>
        <w:rPr>
          <w:b/>
          <w:i/>
        </w:rPr>
      </w:pPr>
    </w:p>
    <w:p w14:paraId="5F48A283" w14:textId="4758F209" w:rsidR="00EB4851" w:rsidRDefault="00EB4851" w:rsidP="212E346A">
      <w:pPr>
        <w:autoSpaceDE w:val="0"/>
        <w:autoSpaceDN w:val="0"/>
        <w:adjustRightInd w:val="0"/>
        <w:rPr>
          <w:b/>
          <w:bCs/>
          <w:i/>
          <w:iCs/>
          <w:highlight w:val="yellow"/>
        </w:rPr>
      </w:pPr>
      <w:r w:rsidRPr="00D95F5B">
        <w:tab/>
        <w:t>c. MAILING INSTRUCTIONS</w:t>
      </w:r>
      <w:r w:rsidR="041FCF09" w:rsidRPr="00D95F5B">
        <w:t xml:space="preserve">: </w:t>
      </w:r>
      <w:r>
        <w:t xml:space="preserve">Email </w:t>
      </w:r>
      <w:r w:rsidRPr="212E346A">
        <w:rPr>
          <w:b/>
          <w:bCs/>
          <w:u w:val="single"/>
        </w:rPr>
        <w:t>Unclassified</w:t>
      </w:r>
      <w:r>
        <w:t xml:space="preserve"> electronic submission to the TPOC identified in Section VII. Encrypt or password-protect all proprietary information prior to sending.   Offerors are responsible to confirm receipt with the TPOC.  AFRL is not responsible for undelivered documents.  If electronic submission is used, only one copy of the documentation is required.</w:t>
      </w:r>
    </w:p>
    <w:p w14:paraId="23152CDF" w14:textId="4AF8EFC7" w:rsidR="00EB4851" w:rsidRPr="00D95F5B" w:rsidRDefault="00EB4851" w:rsidP="00EB4851">
      <w:pPr>
        <w:pStyle w:val="ListParagraph"/>
        <w:spacing w:after="240"/>
        <w:ind w:left="0"/>
      </w:pPr>
    </w:p>
    <w:p w14:paraId="7E672370" w14:textId="77777777" w:rsidR="00EB4851" w:rsidRPr="00D95F5B" w:rsidRDefault="00EB4851" w:rsidP="00EB4851">
      <w:pPr>
        <w:pStyle w:val="ListParagraph"/>
        <w:spacing w:after="240"/>
        <w:ind w:left="0"/>
      </w:pPr>
      <w:r w:rsidRPr="00D95F5B">
        <w:t>Questions can be directed to the TPOC listed in Section VII.</w:t>
      </w:r>
    </w:p>
    <w:p w14:paraId="55C78B21" w14:textId="77777777" w:rsidR="00EB4851" w:rsidRDefault="00EB4851" w:rsidP="00EB4851">
      <w:r w:rsidRPr="00D95F5B">
        <w:t xml:space="preserve">4.  OTHER SUBMISSION REQUIREMENTS/CONSIDERATIONS:  </w:t>
      </w:r>
    </w:p>
    <w:p w14:paraId="63314C2D" w14:textId="77777777" w:rsidR="00EB4851" w:rsidRPr="00D95F5B" w:rsidRDefault="00EB4851" w:rsidP="00EB4851"/>
    <w:p w14:paraId="7544365B" w14:textId="2D09F72A" w:rsidR="00EB4851" w:rsidRPr="00A91F65" w:rsidRDefault="00EB4851" w:rsidP="00EB4851">
      <w:pPr>
        <w:numPr>
          <w:ilvl w:val="2"/>
          <w:numId w:val="25"/>
        </w:numPr>
        <w:ind w:left="360"/>
      </w:pPr>
      <w:r>
        <w:t>COST SHARING OR MATCHING RELATED TO FAR BASED AWARDS</w:t>
      </w:r>
      <w:r w:rsidR="5A962299">
        <w:t>:</w:t>
      </w:r>
      <w:r w:rsidRPr="212E346A">
        <w:rPr>
          <w:i/>
          <w:iCs/>
        </w:rPr>
        <w:t xml:space="preserve"> </w:t>
      </w:r>
      <w:r>
        <w:t xml:space="preserve"> Cost sharing is not a requirement.  Cost sharing may be proposed and will be considered on a case-by-case basis. Cost share will not be a factor in selection for award. For OT awards, see Section IV.</w:t>
      </w:r>
      <w:proofErr w:type="gramStart"/>
      <w:r>
        <w:t>4.h.</w:t>
      </w:r>
      <w:proofErr w:type="gramEnd"/>
      <w:r>
        <w:t>3.</w:t>
      </w:r>
    </w:p>
    <w:p w14:paraId="54E6435C" w14:textId="77777777" w:rsidR="00EB4851" w:rsidRPr="00D95F5B" w:rsidRDefault="00EB4851" w:rsidP="00EB4851"/>
    <w:p w14:paraId="20B2F578" w14:textId="26330030" w:rsidR="00EB4851" w:rsidRPr="00D95F5B" w:rsidRDefault="00EB4851" w:rsidP="00EB4851">
      <w:r w:rsidRPr="00D95F5B">
        <w:tab/>
      </w:r>
      <w:r>
        <w:t xml:space="preserve">b.  </w:t>
      </w:r>
      <w:r w:rsidRPr="00D95F5B">
        <w:t xml:space="preserve">SYSTEM FOR AWARD MANAGEMENT (SAM).  Offerors must be registered in the SAM database to receive a contract </w:t>
      </w:r>
      <w:proofErr w:type="gramStart"/>
      <w:r w:rsidRPr="00D95F5B">
        <w:t>award, and</w:t>
      </w:r>
      <w:proofErr w:type="gramEnd"/>
      <w:r w:rsidRPr="00D95F5B">
        <w:t xml:space="preserve"> remain registered during performance and through final payment of any contract or agreement. Processing time for registration in SAM, which normally takes forty-eight hours, should be taken into consideration when registering. Offerors who are not already </w:t>
      </w:r>
      <w:r w:rsidRPr="00D95F5B">
        <w:lastRenderedPageBreak/>
        <w:t>registered should consider applying for registration before submitting a proposal.  The provision at FAR 52.204-7, System for Award Management (</w:t>
      </w:r>
      <w:r w:rsidR="007B4DFE" w:rsidRPr="007B4DFE">
        <w:rPr>
          <w:b/>
          <w:bCs/>
        </w:rPr>
        <w:t>Nov 2024</w:t>
      </w:r>
      <w:r w:rsidRPr="00D95F5B">
        <w:t>) applies.</w:t>
      </w:r>
    </w:p>
    <w:p w14:paraId="0C7FB64B" w14:textId="77777777" w:rsidR="00EB4851" w:rsidRPr="00D95F5B" w:rsidRDefault="00EB4851" w:rsidP="00EB4851"/>
    <w:p w14:paraId="635569EE" w14:textId="2E249020" w:rsidR="00EB4851" w:rsidRDefault="00EB4851" w:rsidP="00A96BEE">
      <w:pPr>
        <w:ind w:firstLine="720"/>
        <w:rPr>
          <w:rStyle w:val="Hyperlink"/>
        </w:rPr>
      </w:pPr>
      <w:r>
        <w:t xml:space="preserve">c.  </w:t>
      </w:r>
      <w:r w:rsidRPr="00D95F5B">
        <w:t>EXECUTIVE COMPENSATION AND FIRST-TIER SUBCONTRACT/ SUBRECIPIENT AWARDS:  Any contract award resulting from this announcement may contain the clause at FAR 52.204-10 - Reporting Executive Compensation and First-Tier Subcontract Awards (</w:t>
      </w:r>
      <w:r>
        <w:t>Jun 2020</w:t>
      </w:r>
      <w:r w:rsidRPr="00D95F5B">
        <w:t xml:space="preserve">). Any grant or agreement award resulting from this announcement may contain the award term set forth in 2 CFR, Appendix A to Part 25 which can be viewed at: </w:t>
      </w:r>
      <w:hyperlink r:id="rId19" w:history="1">
        <w:r w:rsidR="00A96BEE" w:rsidRPr="009F6177">
          <w:rPr>
            <w:rStyle w:val="Hyperlink"/>
          </w:rPr>
          <w:t>https://www.govinfo.gov/app/details/CFR-2023-title2-vol1/CFR-2023-title2-vol1-part25-appA</w:t>
        </w:r>
      </w:hyperlink>
    </w:p>
    <w:p w14:paraId="489C4F0D" w14:textId="77777777" w:rsidR="00A96BEE" w:rsidRPr="00D95F5B" w:rsidRDefault="00A96BEE" w:rsidP="00A96BEE">
      <w:pPr>
        <w:ind w:firstLine="720"/>
      </w:pPr>
    </w:p>
    <w:p w14:paraId="5ECDBCC8" w14:textId="77777777" w:rsidR="00EB4851" w:rsidRPr="00D95F5B" w:rsidRDefault="00EB4851" w:rsidP="00EB4851">
      <w:r w:rsidRPr="00D95F5B">
        <w:tab/>
      </w:r>
      <w:r>
        <w:t xml:space="preserve">d.  </w:t>
      </w:r>
      <w:r w:rsidRPr="00D95F5B">
        <w:t>ALLOWABLE CHARGES</w:t>
      </w:r>
      <w:proofErr w:type="gramStart"/>
      <w:r w:rsidRPr="00D95F5B">
        <w:t>:  The</w:t>
      </w:r>
      <w:proofErr w:type="gramEnd"/>
      <w:r w:rsidRPr="00D95F5B">
        <w:t xml:space="preserve"> cost of preparing white papers/proposals in response to this announcement is not considered an allowable direct charge to any resulting contract or any other </w:t>
      </w:r>
      <w:proofErr w:type="gramStart"/>
      <w:r w:rsidRPr="00D95F5B">
        <w:t>contract, but</w:t>
      </w:r>
      <w:proofErr w:type="gramEnd"/>
      <w:r w:rsidRPr="00D95F5B">
        <w:t xml:space="preserve"> may be an allowable expense to the normal bid and proposal indirect cost specified in FAR 31.205-18. </w:t>
      </w:r>
      <w:r w:rsidRPr="212E346A">
        <w:rPr>
          <w:b/>
          <w:bCs/>
          <w:i/>
          <w:iCs/>
        </w:rPr>
        <w:t xml:space="preserve"> </w:t>
      </w:r>
      <w:r>
        <w:t>Incurring pre-award costs for ASSISTANCE INSTRUMENTS ONLY are regulated by 2 CFR part 200.458, Pre-Award Costs.</w:t>
      </w:r>
    </w:p>
    <w:p w14:paraId="15D01F06" w14:textId="77777777" w:rsidR="00EB4851" w:rsidRPr="00D95F5B" w:rsidRDefault="00EB4851" w:rsidP="00EB4851"/>
    <w:p w14:paraId="33885236" w14:textId="77777777" w:rsidR="007B4DFE" w:rsidRDefault="00EB4851" w:rsidP="00EB4851">
      <w:r w:rsidRPr="00D95F5B">
        <w:tab/>
      </w:r>
      <w:r>
        <w:t xml:space="preserve">e. </w:t>
      </w:r>
      <w:r w:rsidRPr="00D95F5B">
        <w:t>GOVERNMENT APPROVED ACCOUNTING SYSTEM</w:t>
      </w:r>
      <w:proofErr w:type="gramStart"/>
      <w:r w:rsidRPr="00D95F5B">
        <w:t>:  An</w:t>
      </w:r>
      <w:proofErr w:type="gramEnd"/>
      <w:r w:rsidRPr="00D95F5B">
        <w:t xml:space="preserve"> offeror must have a </w:t>
      </w:r>
      <w:r w:rsidRPr="00D95F5B">
        <w:rPr>
          <w:b/>
          <w:u w:val="single"/>
        </w:rPr>
        <w:t>government approved</w:t>
      </w:r>
      <w:r w:rsidRPr="00D95F5B">
        <w:t xml:space="preserve"> accounting system prior to award of a cost-reimbursement contract per limitations set forth in FAR 16.301-3(a) to ensure the system is adequate for determining costs applicable to the contract.  The acceptability of an accounting system is determined based upon an audit performed by the Defense Contract Audit Agency (DCAA).   </w:t>
      </w:r>
      <w:r w:rsidRPr="00D95F5B">
        <w:rPr>
          <w:b/>
          <w:u w:val="single"/>
        </w:rPr>
        <w:t>IMPORTANT</w:t>
      </w:r>
      <w:r w:rsidRPr="00D95F5B">
        <w:rPr>
          <w:b/>
        </w:rPr>
        <w:t xml:space="preserve">:  </w:t>
      </w:r>
      <w:r w:rsidRPr="00D95F5B">
        <w:t xml:space="preserve">If you do not have a DCAA approved accounting system access the following link for instructions:  </w:t>
      </w:r>
      <w:hyperlink r:id="rId20" w:history="1">
        <w:r>
          <w:rPr>
            <w:rStyle w:val="Hyperlink"/>
          </w:rPr>
          <w:t>https://sam.gov/opp/e628c811fafe041accdddf55fb8539bf/view?keywords=AFRL-BAA-Guide&amp;sort=-relevance&amp;index=&amp;is_active=true&amp;page=1</w:t>
        </w:r>
      </w:hyperlink>
      <w:r w:rsidR="007B4DFE">
        <w:t xml:space="preserve">  </w:t>
      </w:r>
    </w:p>
    <w:p w14:paraId="6C42DEE7" w14:textId="55E45471" w:rsidR="00EB4851" w:rsidRPr="007B4DFE" w:rsidRDefault="007B4DFE" w:rsidP="00EB4851">
      <w:pPr>
        <w:rPr>
          <w:b/>
          <w:bCs/>
        </w:rPr>
      </w:pPr>
      <w:r w:rsidRPr="007B4DFE">
        <w:rPr>
          <w:b/>
          <w:bCs/>
        </w:rPr>
        <w:t>For Other Transactions, an offeror must provide documentation that their accounting system is Generally Accepted Accounting Principles (GAAP) compliant in accordance with the DoD Other Transaction Guide.  </w:t>
      </w:r>
    </w:p>
    <w:p w14:paraId="5C6E26D2" w14:textId="77777777" w:rsidR="00EB4851" w:rsidRDefault="00EB4851" w:rsidP="00EB4851"/>
    <w:p w14:paraId="08D43D81" w14:textId="77777777" w:rsidR="00EB4851" w:rsidRPr="00B3650C" w:rsidRDefault="00EB4851" w:rsidP="00EB4851">
      <w:pPr>
        <w:ind w:firstLine="720"/>
      </w:pPr>
      <w:r>
        <w:t xml:space="preserve">f. </w:t>
      </w:r>
      <w:r w:rsidRPr="00B3650C">
        <w:t xml:space="preserve"> HUMAN USE: All research involving human subjects, to include the use of human biological specimens and human data, selected for funding must comply with Federal regulations for human subject protection.  Further, research involving human subjects that is conducted or supported by the DoD must comply with 32 CFR 219, “Protection of Human Subjects” found at:  </w:t>
      </w:r>
      <w:hyperlink r:id="rId21" w:history="1">
        <w:r w:rsidRPr="00B3650C">
          <w:rPr>
            <w:rStyle w:val="Hyperlink"/>
          </w:rPr>
          <w:t>http://www.access.gpo.gov/nara/cfr/waisidx_07/32cfr219_07.html</w:t>
        </w:r>
      </w:hyperlink>
      <w:r w:rsidRPr="00B3650C">
        <w:t xml:space="preserve">,  and DoD </w:t>
      </w:r>
      <w:r>
        <w:t>Instruction</w:t>
      </w:r>
      <w:r w:rsidRPr="00B3650C">
        <w:t xml:space="preserve"> 3216.02, “Protection of Human Subjects and Adherence to Ethical Standards in DoD-Supported Research” found at:  </w:t>
      </w:r>
      <w:hyperlink r:id="rId22" w:history="1">
        <w:r w:rsidRPr="00B3650C">
          <w:rPr>
            <w:rStyle w:val="Hyperlink"/>
          </w:rPr>
          <w:t>http://www.dtic.mil/whs/directives/corres/pdf/321602p.pdf</w:t>
        </w:r>
      </w:hyperlink>
      <w:r w:rsidRPr="00B3650C">
        <w:rPr>
          <w:u w:val="single"/>
        </w:rPr>
        <w:t>.</w:t>
      </w:r>
    </w:p>
    <w:p w14:paraId="514830F7" w14:textId="77777777" w:rsidR="00EB4851" w:rsidRPr="00B3650C" w:rsidRDefault="00EB4851" w:rsidP="00EB4851"/>
    <w:p w14:paraId="598B48EC" w14:textId="77777777" w:rsidR="00EB4851" w:rsidRPr="00B3650C" w:rsidRDefault="00EB4851" w:rsidP="00EB4851">
      <w:pPr>
        <w:numPr>
          <w:ilvl w:val="0"/>
          <w:numId w:val="15"/>
        </w:numPr>
        <w:ind w:left="1260"/>
      </w:pPr>
      <w:r w:rsidRPr="00B3650C">
        <w:t xml:space="preserve">Institutions awarded funding for research involving human subjects must provide documentation of a current Assurance of Compliance with Federal regulations for human subject protection, for example a Department of Health and Human Services, Office of Human Research Protection Federal Wide Assurance found at: </w:t>
      </w:r>
      <w:hyperlink r:id="rId23" w:history="1">
        <w:r w:rsidRPr="00B3650C">
          <w:rPr>
            <w:rStyle w:val="Hyperlink"/>
          </w:rPr>
          <w:t>http://www.hhs.gov/ohrp</w:t>
        </w:r>
      </w:hyperlink>
      <w:r w:rsidRPr="00B3650C">
        <w:t>.</w:t>
      </w:r>
    </w:p>
    <w:p w14:paraId="4F7973BA" w14:textId="77777777" w:rsidR="00EB4851" w:rsidRPr="00B3650C" w:rsidRDefault="00EB4851" w:rsidP="00EB4851">
      <w:pPr>
        <w:ind w:left="1260"/>
      </w:pPr>
    </w:p>
    <w:p w14:paraId="0159994A" w14:textId="77777777" w:rsidR="00EB4851" w:rsidRPr="00B3650C" w:rsidRDefault="00EB4851" w:rsidP="00EB4851">
      <w:pPr>
        <w:numPr>
          <w:ilvl w:val="0"/>
          <w:numId w:val="15"/>
        </w:numPr>
        <w:ind w:left="1260"/>
      </w:pPr>
      <w:r w:rsidRPr="00B3650C">
        <w:t>All institutions engaged in human subject research, to include subcontractors, must have a valid assurance. In addition, personnel involved in human subject research must document the completion of appropriate training for the protection of human subjects.</w:t>
      </w:r>
    </w:p>
    <w:p w14:paraId="655A62E1" w14:textId="77777777" w:rsidR="00EB4851" w:rsidRPr="00B3650C" w:rsidRDefault="00EB4851" w:rsidP="00EB4851">
      <w:pPr>
        <w:ind w:left="1260"/>
      </w:pPr>
    </w:p>
    <w:p w14:paraId="57903804" w14:textId="77777777" w:rsidR="00EB4851" w:rsidRPr="00B3650C" w:rsidRDefault="00EB4851" w:rsidP="00EB4851">
      <w:pPr>
        <w:numPr>
          <w:ilvl w:val="0"/>
          <w:numId w:val="15"/>
        </w:numPr>
        <w:ind w:left="1260"/>
      </w:pPr>
      <w:r w:rsidRPr="00B3650C">
        <w:t xml:space="preserve">For all research that will involve human subjects in the first year or phase of the project, the institution must submit evidence of a plan for review by an institutional review board (IRB) as part of the proposal. The IRB conducting the review must be the IRB identified on the institution’s Assurance of Compliance. The protocol, separate from the proposal, must include a detailed description of the research plan, study population, risks and benefits of </w:t>
      </w:r>
      <w:r w:rsidRPr="00B3650C">
        <w:lastRenderedPageBreak/>
        <w:t xml:space="preserve">study participation, recruitment and consent process, data collection, and data analysis. The designated IRB should be consulted for guidance on writing the protocol. The informed consent document must comply with 32 CFR 219.116. A valid Assurance of Compliance and evidence of appropriate training by all investigators should accompany the protocol for review by the IRB. </w:t>
      </w:r>
    </w:p>
    <w:p w14:paraId="52C1D46F" w14:textId="77777777" w:rsidR="00EB4851" w:rsidRPr="00B3650C" w:rsidRDefault="00EB4851" w:rsidP="00EB4851">
      <w:pPr>
        <w:ind w:left="1260"/>
      </w:pPr>
    </w:p>
    <w:p w14:paraId="70FF7E23" w14:textId="77777777" w:rsidR="00EB4851" w:rsidRPr="00B3650C" w:rsidRDefault="00EB4851" w:rsidP="00EB4851">
      <w:pPr>
        <w:numPr>
          <w:ilvl w:val="0"/>
          <w:numId w:val="15"/>
        </w:numPr>
        <w:ind w:left="1260"/>
      </w:pPr>
      <w:r w:rsidRPr="00B3650C">
        <w:t xml:space="preserve">In addition to a local IRB approval, </w:t>
      </w:r>
      <w:r>
        <w:t>a</w:t>
      </w:r>
      <w:r w:rsidRPr="00B3650C">
        <w:t xml:space="preserve">n AFRL-level human subject regulatory review and approval is required for all research conducted or supported by the DoD. The Air Force office responsible for managing the award can provide guidance and information about the AFRL-level review process.  Confirmation of </w:t>
      </w:r>
      <w:proofErr w:type="gramStart"/>
      <w:r w:rsidRPr="00B3650C">
        <w:t>a current</w:t>
      </w:r>
      <w:proofErr w:type="gramEnd"/>
      <w:r w:rsidRPr="00B3650C">
        <w:t xml:space="preserve"> Assurance of Compliance and appropriate human </w:t>
      </w:r>
      <w:proofErr w:type="gramStart"/>
      <w:r w:rsidRPr="00B3650C">
        <w:t>subjects</w:t>
      </w:r>
      <w:proofErr w:type="gramEnd"/>
      <w:r w:rsidRPr="00B3650C">
        <w:t xml:space="preserve"> protection training is required before AFRL-level approval can be issued.</w:t>
      </w:r>
    </w:p>
    <w:p w14:paraId="1497006D" w14:textId="77777777" w:rsidR="00EB4851" w:rsidRPr="00B3650C" w:rsidRDefault="00EB4851" w:rsidP="00EB4851">
      <w:pPr>
        <w:ind w:left="1260"/>
      </w:pPr>
    </w:p>
    <w:p w14:paraId="7FF804E0" w14:textId="77777777" w:rsidR="00EB4851" w:rsidRDefault="00EB4851" w:rsidP="00EB4851">
      <w:pPr>
        <w:numPr>
          <w:ilvl w:val="0"/>
          <w:numId w:val="15"/>
        </w:numPr>
        <w:ind w:left="1260"/>
      </w:pPr>
      <w:r w:rsidRPr="00B3650C">
        <w:t xml:space="preserve">The time required to complete the IRB review/approval process will vary depending on the complexity of the research and/or the level of risk to study participants; ample time should be allotted to complete the approval process. The IRB approval process can last between 1 to 3 months, followed by a DoD review that could last 3 to 6 months. No funding may be used toward human subject research until all approvals are granted.  </w:t>
      </w:r>
    </w:p>
    <w:p w14:paraId="68DFF6D0" w14:textId="77777777" w:rsidR="00EB4851" w:rsidRDefault="00EB4851" w:rsidP="00EB4851">
      <w:pPr>
        <w:pStyle w:val="ListParagraph"/>
      </w:pPr>
    </w:p>
    <w:p w14:paraId="730C8A10" w14:textId="326FAD85" w:rsidR="00EB4851" w:rsidRDefault="00EB4851" w:rsidP="00EB4851">
      <w:pPr>
        <w:ind w:firstLine="720"/>
      </w:pPr>
      <w:r>
        <w:t>g. SUPPLIER PERFORMANCE RISK SYSTEM (SPRS). Offerors should have a BASIC NIST SP 800 171 DoD Assessment in the SPRS (</w:t>
      </w:r>
      <w:hyperlink r:id="rId24">
        <w:r w:rsidRPr="212E346A">
          <w:rPr>
            <w:rStyle w:val="Hyperlink"/>
          </w:rPr>
          <w:t>https://www.sprs.csd.disa.mil/</w:t>
        </w:r>
      </w:hyperlink>
      <w:r>
        <w:t xml:space="preserve">). Basic assessment is to be conducted by the offeror. </w:t>
      </w:r>
    </w:p>
    <w:p w14:paraId="5B0ACD92" w14:textId="66762AA5" w:rsidR="00EB4851" w:rsidRPr="00B3650C" w:rsidRDefault="00EB4851" w:rsidP="212E346A">
      <w:pPr>
        <w:ind w:firstLine="720"/>
      </w:pPr>
    </w:p>
    <w:p w14:paraId="487D3E38" w14:textId="77777777" w:rsidR="00EB4851" w:rsidRPr="00D95F5B" w:rsidRDefault="00EB4851" w:rsidP="00EB4851"/>
    <w:p w14:paraId="07C8BE91" w14:textId="77777777" w:rsidR="00EB4851" w:rsidRPr="00D95F5B" w:rsidRDefault="00EB4851" w:rsidP="00EB4851">
      <w:pPr>
        <w:rPr>
          <w:b/>
        </w:rPr>
      </w:pPr>
      <w:r w:rsidRPr="00D95F5B">
        <w:rPr>
          <w:b/>
        </w:rPr>
        <w:t>V. APPLICATION REVIEW INFORMATION:</w:t>
      </w:r>
    </w:p>
    <w:p w14:paraId="3B437A72" w14:textId="77777777" w:rsidR="00EB4851" w:rsidRPr="00D95F5B" w:rsidRDefault="00EB4851" w:rsidP="00EB4851"/>
    <w:p w14:paraId="259E2A87" w14:textId="37B7C0E7" w:rsidR="00EB4851" w:rsidRPr="00D95F5B" w:rsidRDefault="6AE93FE6" w:rsidP="5BC53A09">
      <w:pPr>
        <w:rPr>
          <w:b/>
          <w:bCs/>
          <w:i/>
          <w:iCs/>
          <w:highlight w:val="yellow"/>
        </w:rPr>
      </w:pPr>
      <w:r>
        <w:t xml:space="preserve">1.  CRITERIA:  The following criteria, which are </w:t>
      </w:r>
      <w:r w:rsidR="00536B28">
        <w:t xml:space="preserve">of equal </w:t>
      </w:r>
      <w:r>
        <w:t>importance and will be used to determine whether white papers and proposals submitted are consistent with the intent of this BAA and of interest to the Government:</w:t>
      </w:r>
      <w:r w:rsidRPr="5BC53A09">
        <w:rPr>
          <w:b/>
          <w:bCs/>
          <w:i/>
          <w:iCs/>
        </w:rPr>
        <w:t xml:space="preserve"> </w:t>
      </w:r>
    </w:p>
    <w:p w14:paraId="566C4965" w14:textId="6115810A" w:rsidR="00EB4851" w:rsidRPr="00406BB9" w:rsidRDefault="4C107821" w:rsidP="637A3414">
      <w:pPr>
        <w:ind w:firstLine="720"/>
      </w:pPr>
      <w:r w:rsidRPr="00406BB9">
        <w:t xml:space="preserve">a. Overall Scientific and Technical Merit -- The soundness of approach for the development and/or enhancement of the proposed technology, </w:t>
      </w:r>
    </w:p>
    <w:p w14:paraId="13487E89" w14:textId="22D75403" w:rsidR="00EB4851" w:rsidRPr="00406BB9" w:rsidRDefault="00EB4851" w:rsidP="637A3414">
      <w:r w:rsidRPr="00406BB9">
        <w:rPr>
          <w:b/>
          <w:i/>
        </w:rPr>
        <w:tab/>
      </w:r>
      <w:r w:rsidR="3F239B88" w:rsidRPr="00406BB9">
        <w:t xml:space="preserve">b. Related Experience - The extent to which the offeror demonstrates relevant technology and domain knowledge related to the US Air Force (and Joint DoD partners, where applicable) mission and objectives, </w:t>
      </w:r>
    </w:p>
    <w:p w14:paraId="5F2B1540" w14:textId="77777777" w:rsidR="00EB4851" w:rsidRPr="00406BB9" w:rsidRDefault="00EB4851" w:rsidP="637A3414">
      <w:r w:rsidRPr="00406BB9">
        <w:rPr>
          <w:b/>
          <w:i/>
        </w:rPr>
        <w:tab/>
      </w:r>
      <w:r w:rsidR="4C107821" w:rsidRPr="00406BB9">
        <w:t xml:space="preserve">c. Openness, Maturity and Assurance of Solution - The extent to which existing capabilities and standards are leveraged and the relative maturity of the proposed technology, and </w:t>
      </w:r>
    </w:p>
    <w:p w14:paraId="12DB1D08" w14:textId="77777777" w:rsidR="00EB4851" w:rsidRPr="00D95F5B" w:rsidRDefault="00EB4851" w:rsidP="637A3414">
      <w:r w:rsidRPr="00406BB9">
        <w:rPr>
          <w:b/>
          <w:i/>
        </w:rPr>
        <w:tab/>
      </w:r>
      <w:r w:rsidR="4C107821" w:rsidRPr="00406BB9">
        <w:t>d. Reasonableness and realism of proposed costs and fees (if any).</w:t>
      </w:r>
      <w:r w:rsidR="4C107821" w:rsidRPr="637A3414">
        <w:t xml:space="preserve">  </w:t>
      </w:r>
    </w:p>
    <w:p w14:paraId="7AF57B24" w14:textId="77777777" w:rsidR="00EB4851" w:rsidRPr="00D95F5B" w:rsidRDefault="00EB4851" w:rsidP="00EB4851"/>
    <w:p w14:paraId="36821FF8" w14:textId="77777777" w:rsidR="00EB4851" w:rsidRPr="00E32031" w:rsidRDefault="00EB4851" w:rsidP="00EB4851">
      <w:r w:rsidRPr="00E32031">
        <w:t xml:space="preserve">No further evaluation criteria will be used to select white papers for proposal invitation.  Proposals will be evaluated IAW this evaluation criteria only and categorized/selected for award as detailed in Section V.2.b.2.  White papers and proposals submitted will be evaluated as they are received.  </w:t>
      </w:r>
    </w:p>
    <w:p w14:paraId="39114BBB" w14:textId="77777777" w:rsidR="00EB4851" w:rsidRPr="00E32031" w:rsidRDefault="00EB4851" w:rsidP="00EB4851"/>
    <w:p w14:paraId="67930838" w14:textId="77777777" w:rsidR="00EB4851" w:rsidRPr="00E32031" w:rsidRDefault="00EB4851" w:rsidP="00EB4851">
      <w:r w:rsidRPr="00E32031">
        <w:t xml:space="preserve">2.  REVIEW AND SELECTION PROCESS:  </w:t>
      </w:r>
    </w:p>
    <w:p w14:paraId="0EAF2A88" w14:textId="77777777" w:rsidR="00EB4851" w:rsidRPr="00E32031" w:rsidRDefault="00EB4851" w:rsidP="00EB4851">
      <w:pPr>
        <w:rPr>
          <w:b/>
          <w:i/>
        </w:rPr>
      </w:pPr>
    </w:p>
    <w:p w14:paraId="70FF633E" w14:textId="371978CB" w:rsidR="00EB4851" w:rsidRPr="00E32031" w:rsidRDefault="00EB4851" w:rsidP="212E346A">
      <w:pPr>
        <w:numPr>
          <w:ilvl w:val="0"/>
          <w:numId w:val="16"/>
        </w:numPr>
        <w:rPr>
          <w:b/>
          <w:bCs/>
        </w:rPr>
      </w:pPr>
      <w:r>
        <w:t>Only Government employees on the</w:t>
      </w:r>
      <w:r w:rsidR="27927082">
        <w:t xml:space="preserve"> BAA</w:t>
      </w:r>
      <w:r w:rsidRPr="212E346A">
        <w:rPr>
          <w:b/>
          <w:bCs/>
        </w:rPr>
        <w:t xml:space="preserve"> </w:t>
      </w:r>
      <w:r>
        <w:t xml:space="preserve">team will evaluate the white papers/proposals for selection.  The Air Force Research Laboratory's Information Directorate has contracted for various business and staff support services, some of which require contractors to obtain administrative access to proprietary information submitted by other contractors. Administrative access is defined as "handling or having physical control over information for the sole purpose of accomplishing the administrative functions specified in the administrative support contract, </w:t>
      </w:r>
      <w:r>
        <w:lastRenderedPageBreak/>
        <w:t>which do not require the review, reading, and comprehension of the content of the information on the part of non-technical professionals assigned to accomplish the specified administrative tasks."</w:t>
      </w:r>
      <w:r w:rsidRPr="212E346A">
        <w:rPr>
          <w:b/>
          <w:bCs/>
        </w:rPr>
        <w:t xml:space="preserve">  </w:t>
      </w:r>
      <w:r>
        <w:t xml:space="preserve">These contractors have signed general non-disclosure agreements and organizational conflict of interest statements.  The required administrative access will be granted to non-technical professionals. Examples of the administrative tasks performed </w:t>
      </w:r>
      <w:proofErr w:type="gramStart"/>
      <w:r>
        <w:t>include:</w:t>
      </w:r>
      <w:proofErr w:type="gramEnd"/>
      <w:r>
        <w:t xml:space="preserve"> a. Assembling and organizing information for R&amp;D case files; b. Accessing library files for use by government personnel; and c. Handling and administration of </w:t>
      </w:r>
      <w:proofErr w:type="gramStart"/>
      <w:r>
        <w:t>proposals, contracts</w:t>
      </w:r>
      <w:proofErr w:type="gramEnd"/>
      <w:r>
        <w:t>, contract funding and queries.  Any objection to administrative access must be in writing to the Contracting Officer and shall include a detailed statement of the basis for the objection.</w:t>
      </w:r>
      <w:r w:rsidRPr="212E346A">
        <w:rPr>
          <w:b/>
          <w:bCs/>
        </w:rPr>
        <w:t xml:space="preserve">  </w:t>
      </w:r>
    </w:p>
    <w:p w14:paraId="108F3870" w14:textId="77777777" w:rsidR="00EB4851" w:rsidRPr="00E32031" w:rsidRDefault="00EB4851" w:rsidP="00EB4851">
      <w:pPr>
        <w:rPr>
          <w:b/>
        </w:rPr>
      </w:pPr>
    </w:p>
    <w:p w14:paraId="6174DE5A" w14:textId="77777777" w:rsidR="00EB4851" w:rsidRPr="00E32031" w:rsidRDefault="00EB4851" w:rsidP="00EB4851">
      <w:pPr>
        <w:numPr>
          <w:ilvl w:val="0"/>
          <w:numId w:val="16"/>
        </w:numPr>
        <w:rPr>
          <w:b/>
        </w:rPr>
      </w:pPr>
      <w:r w:rsidRPr="00E32031">
        <w:rPr>
          <w:b/>
          <w:bCs/>
        </w:rPr>
        <w:t>WHITE PAPER/PROPOSAL REVIEW PROCESS:</w:t>
      </w:r>
    </w:p>
    <w:p w14:paraId="5B830F57" w14:textId="77777777" w:rsidR="00EB4851" w:rsidRPr="00E32031" w:rsidRDefault="00EB4851" w:rsidP="00EB4851">
      <w:pPr>
        <w:rPr>
          <w:b/>
        </w:rPr>
      </w:pPr>
    </w:p>
    <w:p w14:paraId="4DF064FB" w14:textId="77777777" w:rsidR="00EB4851" w:rsidRPr="00E32031" w:rsidRDefault="00EB4851" w:rsidP="00EB4851">
      <w:pPr>
        <w:numPr>
          <w:ilvl w:val="1"/>
          <w:numId w:val="16"/>
        </w:numPr>
        <w:ind w:left="1080" w:hanging="270"/>
      </w:pPr>
      <w:r w:rsidRPr="00E32031">
        <w:rPr>
          <w:b/>
          <w:bCs/>
        </w:rPr>
        <w:t xml:space="preserve">FIRST STEP – White Paper Reviews: </w:t>
      </w:r>
      <w:r w:rsidRPr="00E32031">
        <w:t xml:space="preserve">The Government will review White Papers to </w:t>
      </w:r>
      <w:r>
        <w:t xml:space="preserve">identify those with the greatest potential to meet the Air Force’s needs based on the criteria above. If funding is available for an identified white paper, AFRL/RI will request a formal technical and cost proposal from the Offeror. For white papers not of interest to the Government, or for which funding is not available, those Offerors will receive letters from the Government indicating the basis for non-selection. </w:t>
      </w:r>
    </w:p>
    <w:p w14:paraId="1A5ECC00" w14:textId="77777777" w:rsidR="00EB4851" w:rsidRPr="00E32031" w:rsidRDefault="00EB4851" w:rsidP="00EB4851">
      <w:pPr>
        <w:ind w:left="1080" w:hanging="270"/>
        <w:rPr>
          <w:b/>
        </w:rPr>
      </w:pPr>
    </w:p>
    <w:p w14:paraId="41C4D52C" w14:textId="77777777" w:rsidR="00EB4851" w:rsidRPr="00E32031" w:rsidRDefault="00EB4851" w:rsidP="00EB4851">
      <w:pPr>
        <w:numPr>
          <w:ilvl w:val="1"/>
          <w:numId w:val="16"/>
        </w:numPr>
        <w:ind w:left="1080" w:hanging="270"/>
        <w:rPr>
          <w:b/>
        </w:rPr>
      </w:pPr>
      <w:r w:rsidRPr="00E32031">
        <w:rPr>
          <w:b/>
          <w:bCs/>
        </w:rPr>
        <w:t>SECOND STEP – Proposal Review and Selection Process</w:t>
      </w:r>
    </w:p>
    <w:p w14:paraId="3732C32A" w14:textId="77777777" w:rsidR="00EB4851" w:rsidRPr="00E32031" w:rsidRDefault="00EB4851" w:rsidP="00EB4851">
      <w:pPr>
        <w:ind w:left="1170"/>
      </w:pPr>
    </w:p>
    <w:p w14:paraId="6488F2A9" w14:textId="109AAAE8" w:rsidR="009B7D59" w:rsidRPr="002571E2" w:rsidRDefault="009B7D59" w:rsidP="007B4DFE">
      <w:pPr>
        <w:pStyle w:val="ListParagraph"/>
        <w:numPr>
          <w:ilvl w:val="0"/>
          <w:numId w:val="16"/>
        </w:numPr>
      </w:pPr>
      <w:r w:rsidRPr="007B4DFE">
        <w:rPr>
          <w:b/>
          <w:bCs/>
        </w:rPr>
        <w:t>Categories</w:t>
      </w:r>
      <w:r w:rsidRPr="002571E2">
        <w:t xml:space="preserve">: Based on the evaluation, proposals will be categorized as </w:t>
      </w:r>
      <w:r>
        <w:t>Selectable</w:t>
      </w:r>
      <w:r w:rsidRPr="002571E2">
        <w:t xml:space="preserve"> or Not Selectable (see definitions below). The selection of one or more offerors for award will be based on the evaluation, as well as importance to agency programs and funding availability.</w:t>
      </w:r>
    </w:p>
    <w:p w14:paraId="74D22551" w14:textId="77777777" w:rsidR="009B7D59" w:rsidRPr="002571E2" w:rsidRDefault="009B7D59" w:rsidP="009B7D59">
      <w:pPr>
        <w:ind w:left="1440"/>
      </w:pPr>
    </w:p>
    <w:p w14:paraId="3CEE9228" w14:textId="77777777" w:rsidR="009B7D59" w:rsidRPr="002571E2" w:rsidRDefault="009B7D59" w:rsidP="009B7D59">
      <w:pPr>
        <w:pStyle w:val="ListParagraph"/>
        <w:numPr>
          <w:ilvl w:val="1"/>
          <w:numId w:val="35"/>
        </w:numPr>
      </w:pPr>
      <w:r w:rsidRPr="00145613">
        <w:rPr>
          <w:b/>
          <w:bCs/>
        </w:rPr>
        <w:t xml:space="preserve">Selectable: </w:t>
      </w:r>
      <w:r w:rsidRPr="002571E2">
        <w:t>Proposals are recommended for acceptance</w:t>
      </w:r>
      <w:r>
        <w:t>,</w:t>
      </w:r>
      <w:r w:rsidRPr="002571E2">
        <w:t xml:space="preserve"> if sufficient funding</w:t>
      </w:r>
      <w:r>
        <w:t>*</w:t>
      </w:r>
      <w:r w:rsidRPr="002571E2">
        <w:t xml:space="preserve"> is available. </w:t>
      </w:r>
      <w:r>
        <w:t xml:space="preserve"> </w:t>
      </w:r>
    </w:p>
    <w:p w14:paraId="2769DA94" w14:textId="77777777" w:rsidR="009B7D59" w:rsidRDefault="009B7D59" w:rsidP="009B7D59">
      <w:pPr>
        <w:pStyle w:val="ListParagraph"/>
        <w:numPr>
          <w:ilvl w:val="1"/>
          <w:numId w:val="35"/>
        </w:numPr>
      </w:pPr>
      <w:r w:rsidRPr="00145613">
        <w:rPr>
          <w:b/>
          <w:bCs/>
        </w:rPr>
        <w:t xml:space="preserve">Not Selectable: </w:t>
      </w:r>
      <w:r w:rsidRPr="002571E2">
        <w:t>Even if sufficient funding existed, the proposal should not be funded.</w:t>
      </w:r>
    </w:p>
    <w:p w14:paraId="22F335A3" w14:textId="77777777" w:rsidR="009B7D59" w:rsidRPr="002571E2" w:rsidRDefault="009B7D59" w:rsidP="009B7D59">
      <w:pPr>
        <w:ind w:left="1440"/>
      </w:pPr>
    </w:p>
    <w:p w14:paraId="675D67D5" w14:textId="77777777" w:rsidR="009B7D59" w:rsidRPr="00145613" w:rsidRDefault="009B7D59" w:rsidP="009B7D59">
      <w:pPr>
        <w:ind w:left="1080"/>
        <w:rPr>
          <w:i/>
          <w:color w:val="000000"/>
          <w:szCs w:val="28"/>
        </w:rPr>
      </w:pPr>
      <w:r>
        <w:rPr>
          <w:i/>
        </w:rPr>
        <w:t>*</w:t>
      </w:r>
      <w:r w:rsidRPr="00145613">
        <w:rPr>
          <w:i/>
        </w:rPr>
        <w:t xml:space="preserve">Selectable proposals will be designated as funded or unfunded.  </w:t>
      </w:r>
      <w:r w:rsidRPr="00145613">
        <w:rPr>
          <w:i/>
          <w:color w:val="000000"/>
          <w:szCs w:val="28"/>
        </w:rPr>
        <w:t xml:space="preserve">Letters will be sent to the unfunded offerors. These proposals may be funded </w:t>
      </w:r>
      <w:proofErr w:type="gramStart"/>
      <w:r w:rsidRPr="00145613">
        <w:rPr>
          <w:i/>
          <w:color w:val="000000"/>
          <w:szCs w:val="28"/>
        </w:rPr>
        <w:t>at a later date</w:t>
      </w:r>
      <w:proofErr w:type="gramEnd"/>
      <w:r w:rsidRPr="00145613">
        <w:rPr>
          <w:i/>
          <w:color w:val="000000"/>
          <w:szCs w:val="28"/>
        </w:rPr>
        <w:t xml:space="preserve"> without reevaluation, if funding becomes available.</w:t>
      </w:r>
    </w:p>
    <w:p w14:paraId="05654A5F" w14:textId="77777777" w:rsidR="009B7D59" w:rsidRPr="002571E2" w:rsidRDefault="009B7D59" w:rsidP="009B7D59">
      <w:pPr>
        <w:ind w:left="1440"/>
        <w:contextualSpacing/>
      </w:pPr>
    </w:p>
    <w:p w14:paraId="19E2D8E2" w14:textId="77777777" w:rsidR="009B7D59" w:rsidRDefault="009B7D59" w:rsidP="007B4DFE">
      <w:pPr>
        <w:pStyle w:val="ListParagraph"/>
        <w:numPr>
          <w:ilvl w:val="0"/>
          <w:numId w:val="16"/>
        </w:numPr>
      </w:pPr>
      <w:r w:rsidRPr="002571E2">
        <w:t xml:space="preserve">The Government reserves the right to award some, all, or none of the proposals. When the Government elects to award only a part of a proposal, the selected part may be categorized as Selectable, though the proposal </w:t>
      </w:r>
      <w:proofErr w:type="gramStart"/>
      <w:r w:rsidRPr="002571E2">
        <w:t>as a whole may</w:t>
      </w:r>
      <w:proofErr w:type="gramEnd"/>
      <w:r w:rsidRPr="002571E2">
        <w:t xml:space="preserve"> not merit such a categorization.</w:t>
      </w:r>
    </w:p>
    <w:p w14:paraId="2EA71CAF" w14:textId="77777777" w:rsidR="009B7D59" w:rsidRDefault="009B7D59" w:rsidP="009B7D59">
      <w:pPr>
        <w:pStyle w:val="ListParagraph"/>
      </w:pPr>
    </w:p>
    <w:p w14:paraId="2A9CD033" w14:textId="0962405C" w:rsidR="009B7D59" w:rsidRPr="007B4DFE" w:rsidRDefault="007B4DFE" w:rsidP="007B4DFE">
      <w:pPr>
        <w:pStyle w:val="ListParagraph"/>
        <w:numPr>
          <w:ilvl w:val="0"/>
          <w:numId w:val="16"/>
        </w:numPr>
        <w:rPr>
          <w:b/>
          <w:bCs/>
        </w:rPr>
      </w:pPr>
      <w:r w:rsidRPr="007B4DFE">
        <w:rPr>
          <w:b/>
          <w:bCs/>
        </w:rPr>
        <w:t xml:space="preserve">In parallel with the technical evaluation, the Government will review the SF424 (for assistance instruments), the Research and Related Senior and Key Person Profile Worksheet (for FAR based or Other Transactions), and Security Program Questionnaire and Privacy Act Statement submitted by the Contractor </w:t>
      </w:r>
      <w:proofErr w:type="gramStart"/>
      <w:r w:rsidRPr="007B4DFE">
        <w:rPr>
          <w:b/>
          <w:bCs/>
        </w:rPr>
        <w:t>in order to</w:t>
      </w:r>
      <w:proofErr w:type="gramEnd"/>
      <w:r w:rsidRPr="007B4DFE">
        <w:rPr>
          <w:b/>
          <w:bCs/>
        </w:rPr>
        <w:t xml:space="preserve"> satisfy the S&amp;T Protection requirements IAW AFRLI 61-113. In the event a security risk is </w:t>
      </w:r>
      <w:proofErr w:type="gramStart"/>
      <w:r w:rsidRPr="007B4DFE">
        <w:rPr>
          <w:b/>
          <w:bCs/>
        </w:rPr>
        <w:t>identified</w:t>
      </w:r>
      <w:proofErr w:type="gramEnd"/>
      <w:r w:rsidRPr="007B4DFE">
        <w:rPr>
          <w:b/>
          <w:bCs/>
        </w:rPr>
        <w:t xml:space="preserve"> and the Government has determined the security risk exceeds the acceptable threshold, the Offeror will be notified and informed of the declination of award. </w:t>
      </w:r>
    </w:p>
    <w:p w14:paraId="5CEBEF32" w14:textId="77777777" w:rsidR="009B7D59" w:rsidRPr="00E32031" w:rsidRDefault="009B7D59" w:rsidP="009B7D59">
      <w:pPr>
        <w:ind w:left="1080"/>
      </w:pPr>
    </w:p>
    <w:p w14:paraId="6244339E" w14:textId="77777777" w:rsidR="009B7D59" w:rsidRPr="00E32031" w:rsidRDefault="009B7D59" w:rsidP="007B4DFE">
      <w:pPr>
        <w:pStyle w:val="ListParagraph"/>
        <w:numPr>
          <w:ilvl w:val="0"/>
          <w:numId w:val="16"/>
        </w:numPr>
      </w:pPr>
      <w:r w:rsidRPr="00E32031">
        <w:t xml:space="preserve">Proposal Risk Assessment: Proposals’ technical, cost, and schedule risk will be assessed as part of the above evaluation criteria’s application. Proposal risk relates to the identification and assessment of the risks associated with an offeror's proposed approach as it relates to accomplishing the proposed effort. Tradeoffs of the assessed risk will be weighed against the potential scientific benefit. Proposal risk for schedule relates to an assessment of the risks </w:t>
      </w:r>
      <w:r w:rsidRPr="00E32031">
        <w:lastRenderedPageBreak/>
        <w:t>associated with the offeror's proposed number of hours, labor categories, materials, or other cost elements as it relates to meeting the proposed period of performance.</w:t>
      </w:r>
    </w:p>
    <w:p w14:paraId="6D7D2829" w14:textId="77777777" w:rsidR="009B7D59" w:rsidRPr="00E32031" w:rsidRDefault="009B7D59" w:rsidP="009B7D59">
      <w:pPr>
        <w:ind w:left="1080"/>
      </w:pPr>
    </w:p>
    <w:p w14:paraId="757A9F15" w14:textId="77777777" w:rsidR="009B7D59" w:rsidRPr="00E32031" w:rsidRDefault="009B7D59" w:rsidP="007B4DFE">
      <w:pPr>
        <w:pStyle w:val="ListParagraph"/>
        <w:numPr>
          <w:ilvl w:val="0"/>
          <w:numId w:val="16"/>
        </w:numPr>
      </w:pPr>
      <w:r w:rsidRPr="00E32031">
        <w:t xml:space="preserve">Prior to award of a potentially successful offer, the Contracting Officer will </w:t>
      </w:r>
      <w:proofErr w:type="gramStart"/>
      <w:r w:rsidRPr="00E32031">
        <w:t>make a determination</w:t>
      </w:r>
      <w:proofErr w:type="gramEnd"/>
      <w:r w:rsidRPr="00E32031">
        <w:t xml:space="preserve"> regarding price reasonableness and realism.</w:t>
      </w:r>
    </w:p>
    <w:p w14:paraId="2DF4CC7B" w14:textId="77777777" w:rsidR="00EB4851" w:rsidRPr="00E32031" w:rsidRDefault="00EB4851" w:rsidP="00EB4851">
      <w:pPr>
        <w:rPr>
          <w:b/>
        </w:rPr>
      </w:pPr>
    </w:p>
    <w:p w14:paraId="2355485A" w14:textId="77777777" w:rsidR="00EB4851" w:rsidRDefault="00EB4851" w:rsidP="00EB4851">
      <w:bookmarkStart w:id="1" w:name="_Hlk133410777"/>
      <w:r w:rsidRPr="00E32031">
        <w:t>3</w:t>
      </w:r>
      <w:proofErr w:type="gramStart"/>
      <w:r w:rsidRPr="00E32031">
        <w:t xml:space="preserve">. </w:t>
      </w:r>
      <w:bookmarkStart w:id="2" w:name="_Hlk133409791"/>
      <w:r w:rsidRPr="00E32031">
        <w:t xml:space="preserve"> </w:t>
      </w:r>
      <w:bookmarkStart w:id="3" w:name="_Hlk135831367"/>
      <w:r>
        <w:t>RESPONSIBILITY</w:t>
      </w:r>
      <w:proofErr w:type="gramEnd"/>
      <w:r>
        <w:t xml:space="preserve">/QUALIFICATION (R/Q) </w:t>
      </w:r>
      <w:r w:rsidRPr="00E32031">
        <w:t>(</w:t>
      </w:r>
      <w:r>
        <w:t xml:space="preserve">FORMERLY </w:t>
      </w:r>
      <w:r w:rsidRPr="00E32031">
        <w:t>FAPIIS) PUBLIC ACCESS</w:t>
      </w:r>
      <w:proofErr w:type="gramStart"/>
      <w:r w:rsidRPr="00E32031">
        <w:t>:  The</w:t>
      </w:r>
      <w:proofErr w:type="gramEnd"/>
      <w:r w:rsidRPr="00E32031">
        <w:t xml:space="preserve"> Government is required to review and consider any information about the applicant that is in </w:t>
      </w:r>
      <w:r>
        <w:t>SAM.gov</w:t>
      </w:r>
      <w:r w:rsidRPr="00E32031">
        <w:t xml:space="preserve"> before making any award </w:t>
      </w:r>
      <w:proofErr w:type="gramStart"/>
      <w:r w:rsidRPr="00E32031">
        <w:t>in excess of</w:t>
      </w:r>
      <w:proofErr w:type="gramEnd"/>
      <w:r w:rsidRPr="00E32031">
        <w:t xml:space="preserve"> the simplified acq</w:t>
      </w:r>
      <w:r>
        <w:t>uisition threshold (currently $2</w:t>
      </w:r>
      <w:r w:rsidRPr="00E32031">
        <w:t xml:space="preserve">50,000) over the period of performance.  An applicant may review and comment on any information about itself that a federal awarding agency previously entered.  The Government will consider any comments by the applicant, in addition to other information in </w:t>
      </w:r>
      <w:r>
        <w:t>SAM.gov</w:t>
      </w:r>
      <w:r w:rsidRPr="00E32031">
        <w:t xml:space="preserve"> in making a judgment about the applicant's integrity, business ethics, and record of performance under federal awards when completing the review of risk posed by applicants as described in 2 CFR § 200.205 Federal Awarding Agency Review of Risk Posed by Applicants and per FAR 9.104-6.</w:t>
      </w:r>
      <w:bookmarkEnd w:id="2"/>
      <w:bookmarkEnd w:id="3"/>
    </w:p>
    <w:bookmarkEnd w:id="1"/>
    <w:p w14:paraId="19C56AFB" w14:textId="77777777" w:rsidR="00EB4851" w:rsidRDefault="00EB4851" w:rsidP="00EB4851"/>
    <w:p w14:paraId="45A5E132" w14:textId="121F9AA1" w:rsidR="00EB4851" w:rsidRPr="00EF0184" w:rsidRDefault="00EB4851" w:rsidP="00EB4851">
      <w:pPr>
        <w:pStyle w:val="Default"/>
        <w:rPr>
          <w:rFonts w:ascii="Times New Roman" w:hAnsi="Times New Roman" w:cs="Times New Roman"/>
          <w:b/>
          <w:bCs/>
          <w:color w:val="auto"/>
        </w:rPr>
      </w:pPr>
      <w:r w:rsidRPr="00EF0184">
        <w:rPr>
          <w:rFonts w:ascii="Times New Roman" w:hAnsi="Times New Roman" w:cs="Times New Roman"/>
          <w:b/>
          <w:bCs/>
          <w:color w:val="auto"/>
        </w:rPr>
        <w:t>4.ADEQUATE PRICE COMPETITION: As this B</w:t>
      </w:r>
      <w:r w:rsidR="50B9EC40" w:rsidRPr="00EF0184">
        <w:rPr>
          <w:rFonts w:ascii="Times New Roman" w:hAnsi="Times New Roman" w:cs="Times New Roman"/>
          <w:b/>
          <w:bCs/>
          <w:color w:val="auto"/>
        </w:rPr>
        <w:t>AA</w:t>
      </w:r>
      <w:r w:rsidRPr="00EF0184">
        <w:rPr>
          <w:rFonts w:ascii="Times New Roman" w:hAnsi="Times New Roman" w:cs="Times New Roman"/>
          <w:b/>
          <w:bCs/>
          <w:color w:val="auto"/>
        </w:rPr>
        <w:t xml:space="preserve"> is an Open</w:t>
      </w:r>
      <w:r w:rsidR="7591ADEB" w:rsidRPr="00EF0184">
        <w:rPr>
          <w:rFonts w:ascii="Times New Roman" w:hAnsi="Times New Roman" w:cs="Times New Roman"/>
          <w:b/>
          <w:bCs/>
          <w:color w:val="auto"/>
        </w:rPr>
        <w:t xml:space="preserve"> BAA</w:t>
      </w:r>
      <w:r w:rsidRPr="00EF0184">
        <w:rPr>
          <w:rFonts w:ascii="Times New Roman" w:hAnsi="Times New Roman" w:cs="Times New Roman"/>
          <w:b/>
          <w:bCs/>
          <w:color w:val="auto"/>
        </w:rPr>
        <w:t>, adequate price competition is not anticipated since there is no set response time, and proposals are evaluated at the time of receipt. Offerors whose proposals are selected for award will be expected to submit certified cost and pricing data on contracts exceeding $2M</w:t>
      </w:r>
      <w:r w:rsidR="00EF0184" w:rsidRPr="00EF0184">
        <w:rPr>
          <w:rFonts w:ascii="Times New Roman" w:hAnsi="Times New Roman" w:cs="Times New Roman"/>
          <w:b/>
          <w:bCs/>
          <w:color w:val="auto"/>
        </w:rPr>
        <w:t xml:space="preserve"> prior to 1 OCT 2025 and $2.5M after 1 OCT 2025</w:t>
      </w:r>
      <w:r w:rsidRPr="00EF0184">
        <w:rPr>
          <w:rFonts w:ascii="Times New Roman" w:hAnsi="Times New Roman" w:cs="Times New Roman"/>
          <w:b/>
          <w:bCs/>
          <w:color w:val="auto"/>
        </w:rPr>
        <w:t xml:space="preserve"> </w:t>
      </w:r>
      <w:bookmarkStart w:id="4" w:name="_Hlk133410792"/>
      <w:bookmarkStart w:id="5" w:name="_Hlk135831383"/>
      <w:r w:rsidRPr="00EF0184">
        <w:rPr>
          <w:rFonts w:ascii="Times New Roman" w:hAnsi="Times New Roman" w:cs="Times New Roman"/>
          <w:b/>
          <w:bCs/>
          <w:color w:val="auto"/>
        </w:rPr>
        <w:t>(the threshold is $7.5M for small businesses or nontraditional defense contractors).</w:t>
      </w:r>
      <w:bookmarkEnd w:id="4"/>
    </w:p>
    <w:bookmarkEnd w:id="5"/>
    <w:p w14:paraId="07BD15FB" w14:textId="77777777" w:rsidR="00EB4851" w:rsidRPr="00E32031" w:rsidRDefault="00EB4851" w:rsidP="00EB4851"/>
    <w:p w14:paraId="7C00F75A" w14:textId="77777777" w:rsidR="00EB4851" w:rsidRPr="00D95F5B" w:rsidRDefault="00EB4851" w:rsidP="00EB4851">
      <w:pPr>
        <w:rPr>
          <w:b/>
        </w:rPr>
      </w:pPr>
    </w:p>
    <w:p w14:paraId="4C1E283D" w14:textId="77777777" w:rsidR="00EB4851" w:rsidRPr="00D95F5B" w:rsidRDefault="00EB4851" w:rsidP="00EB4851">
      <w:r w:rsidRPr="00D95F5B">
        <w:rPr>
          <w:b/>
        </w:rPr>
        <w:t xml:space="preserve">VI. </w:t>
      </w:r>
      <w:r w:rsidRPr="00D95F5B">
        <w:rPr>
          <w:b/>
          <w:u w:val="single"/>
        </w:rPr>
        <w:t>STEP TWO</w:t>
      </w:r>
      <w:r w:rsidRPr="00D95F5B">
        <w:rPr>
          <w:b/>
        </w:rPr>
        <w:t xml:space="preserve"> INFORMATION – REQUEST FOR PROPOSAL &amp; AWARD</w:t>
      </w:r>
      <w:r w:rsidRPr="00D95F5B">
        <w:t>:</w:t>
      </w:r>
    </w:p>
    <w:p w14:paraId="3BFA7F68" w14:textId="77777777" w:rsidR="00EB4851" w:rsidRPr="00D95F5B" w:rsidRDefault="00EB4851" w:rsidP="00EB4851"/>
    <w:p w14:paraId="13F68B0E" w14:textId="7400A2F1" w:rsidR="00EB4851" w:rsidRDefault="00EB4851" w:rsidP="00EB4851">
      <w:pPr>
        <w:rPr>
          <w:b/>
          <w:u w:val="single"/>
        </w:rPr>
      </w:pPr>
      <w:r w:rsidRPr="00A91F65">
        <w:t xml:space="preserve">1.  </w:t>
      </w:r>
      <w:r w:rsidRPr="00EF0184">
        <w:rPr>
          <w:b/>
          <w:bCs/>
        </w:rPr>
        <w:t xml:space="preserve">PROPOSAL FORMATING: When developing proposals, reference the AFRL "Broad Agency Announcement (BAA): Guide for Industry," </w:t>
      </w:r>
      <w:r w:rsidR="00EF0184" w:rsidRPr="00EF0184">
        <w:rPr>
          <w:b/>
          <w:bCs/>
        </w:rPr>
        <w:t>JAN 2025</w:t>
      </w:r>
      <w:r w:rsidRPr="00EF0184">
        <w:rPr>
          <w:b/>
          <w:bCs/>
        </w:rPr>
        <w:t xml:space="preserve">, and RI-Specific Proposal Preparation Instructions, </w:t>
      </w:r>
      <w:r w:rsidR="00EF0184" w:rsidRPr="00EF0184">
        <w:rPr>
          <w:b/>
          <w:bCs/>
        </w:rPr>
        <w:t>APR 2025</w:t>
      </w:r>
      <w:r w:rsidRPr="00EF0184">
        <w:rPr>
          <w:b/>
          <w:bCs/>
        </w:rPr>
        <w:t xml:space="preserve">, which may be accessed at: </w:t>
      </w:r>
      <w:hyperlink r:id="rId25" w:history="1">
        <w:r w:rsidR="00EF0184" w:rsidRPr="00EF0184">
          <w:rPr>
            <w:rStyle w:val="Hyperlink"/>
            <w:b/>
            <w:bCs/>
          </w:rPr>
          <w:t>https://sam.gov/opp/bf3b59bda4814397b37a3c96c302178e/view</w:t>
        </w:r>
      </w:hyperlink>
      <w:r w:rsidR="00EF0184" w:rsidRPr="00EF0184">
        <w:rPr>
          <w:b/>
          <w:bCs/>
        </w:rPr>
        <w:t xml:space="preserve"> </w:t>
      </w:r>
      <w:r w:rsidRPr="00EF0184">
        <w:rPr>
          <w:b/>
          <w:bCs/>
          <w:u w:val="single"/>
        </w:rPr>
        <w:t>Always reference the newest versions of these documents.</w:t>
      </w:r>
    </w:p>
    <w:p w14:paraId="74415C7E" w14:textId="77777777" w:rsidR="00EB4851" w:rsidRDefault="00EB4851" w:rsidP="00EB4851">
      <w:pPr>
        <w:rPr>
          <w:b/>
          <w:u w:val="single"/>
        </w:rPr>
      </w:pPr>
    </w:p>
    <w:p w14:paraId="0A8647C3" w14:textId="77777777" w:rsidR="00EB4851" w:rsidRDefault="00EB4851" w:rsidP="00EB4851">
      <w:pPr>
        <w:pStyle w:val="ListParagraph"/>
        <w:ind w:left="0"/>
        <w:rPr>
          <w:b/>
        </w:rPr>
      </w:pPr>
      <w:r>
        <w:rPr>
          <w:b/>
        </w:rPr>
        <w:t xml:space="preserve">Please note that less than </w:t>
      </w:r>
      <w:proofErr w:type="gramStart"/>
      <w:r>
        <w:rPr>
          <w:b/>
        </w:rPr>
        <w:t>12 point</w:t>
      </w:r>
      <w:proofErr w:type="gramEnd"/>
      <w:r>
        <w:rPr>
          <w:b/>
        </w:rPr>
        <w:t xml:space="preserve"> font is acceptable for graphics and illustrations (as in labels and short descriptions) as long as it is readable when printed out on standard 8x11 paper. </w:t>
      </w:r>
    </w:p>
    <w:p w14:paraId="5C7BAC3A" w14:textId="77777777" w:rsidR="00EB4851" w:rsidRDefault="00EB4851" w:rsidP="00EB4851">
      <w:pPr>
        <w:rPr>
          <w:b/>
          <w:u w:val="single"/>
        </w:rPr>
      </w:pPr>
    </w:p>
    <w:p w14:paraId="0F8B033E" w14:textId="77777777" w:rsidR="00EB4851" w:rsidRPr="00A91F65" w:rsidRDefault="00EB4851" w:rsidP="00EB4851"/>
    <w:p w14:paraId="630810A7" w14:textId="119C330D" w:rsidR="00EB4851" w:rsidRPr="00A91F65" w:rsidRDefault="00EB4851" w:rsidP="00EB4851">
      <w:r>
        <w:t>2.  AWARD NOTICES:  Those white papers found to be consistent with the research areas of interest and expected results within the broad topic areas as described in the Technology Requirements section of this B</w:t>
      </w:r>
      <w:r w:rsidR="784E0479">
        <w:t>AA</w:t>
      </w:r>
      <w:r>
        <w:t xml:space="preserve"> and of interest to the Government may be invited to submit a technical and cost proposal. Notification by email or letter will be sent by the TPOC.  Such invitation does not assure that the submitting organization will be awarded a contract.  Those white papers not selected to submit a proposal will be notified in the same manner.  Prospective offerors are advised that only Contracting Officers are legally authorized to commit the Government.  All offerors submitting proposals will receive notification of their evaluation results within 45 days of submission.  Offerors should email the </w:t>
      </w:r>
      <w:proofErr w:type="gramStart"/>
      <w:r>
        <w:t>TPOC</w:t>
      </w:r>
      <w:proofErr w:type="gramEnd"/>
      <w:r>
        <w:t xml:space="preserve"> and the Contracting Officer listed in Section VII, </w:t>
      </w:r>
      <w:proofErr w:type="gramStart"/>
      <w:r>
        <w:t>for</w:t>
      </w:r>
      <w:proofErr w:type="gramEnd"/>
      <w:r>
        <w:t xml:space="preserve"> </w:t>
      </w:r>
      <w:proofErr w:type="gramStart"/>
      <w:r>
        <w:t>status of</w:t>
      </w:r>
      <w:proofErr w:type="gramEnd"/>
      <w:r>
        <w:t xml:space="preserve"> their proposal after 45 days, if no such correspondence has been received. </w:t>
      </w:r>
    </w:p>
    <w:p w14:paraId="4773BA2C" w14:textId="77777777" w:rsidR="00EB4851" w:rsidRPr="00A91F65" w:rsidRDefault="00EB4851" w:rsidP="00EB4851"/>
    <w:p w14:paraId="3DBA0C37" w14:textId="73E8C315" w:rsidR="00EB4851" w:rsidRDefault="00EB4851" w:rsidP="00EB4851">
      <w:r w:rsidRPr="00A91F65">
        <w:rPr>
          <w:bCs/>
        </w:rPr>
        <w:t xml:space="preserve">3.  DEBRIEFINGS: </w:t>
      </w:r>
      <w:r w:rsidR="00A96BEE" w:rsidRPr="00EF0184">
        <w:t xml:space="preserve">If a debriefing is requested in accordance with the time guidelines set out in FAR 15.505 and 15.506, a debriefing will be provided, but the debriefing content may vary to be consistent with the procedures that govern BAAs (FAR 35.016) and OTs (10 USC 4021 (previously 10 USC 4002, 2371) , and Other Transactions for Prototype which are governed by 10 USC 4022 (previously 10 USC </w:t>
      </w:r>
      <w:r w:rsidR="00A96BEE" w:rsidRPr="00EF0184">
        <w:lastRenderedPageBreak/>
        <w:t>4003, 2371b) and 10 USC 4023 (previously 10 USC 4004, 2373). Debriefings will not be provided for white papers.</w:t>
      </w:r>
    </w:p>
    <w:p w14:paraId="257378D7" w14:textId="77777777" w:rsidR="00EB4851" w:rsidRPr="00A91F65" w:rsidRDefault="00EB4851" w:rsidP="00EB4851"/>
    <w:p w14:paraId="59EFA84B" w14:textId="77777777" w:rsidR="00EB4851" w:rsidRPr="00A91F65" w:rsidRDefault="00EB4851" w:rsidP="00EB4851">
      <w:r w:rsidRPr="00A91F65">
        <w:t xml:space="preserve">4.  ADMINISTRATIVE AND NATIONAL POLICY REQUIREMENTS:  </w:t>
      </w:r>
    </w:p>
    <w:p w14:paraId="5A183D6E" w14:textId="77777777" w:rsidR="00EB4851" w:rsidRPr="00A91F65" w:rsidRDefault="00EB4851" w:rsidP="00EB4851"/>
    <w:p w14:paraId="72C2146A" w14:textId="0D05B9F5" w:rsidR="00EB4851" w:rsidRDefault="4C107821" w:rsidP="212E346A">
      <w:pPr>
        <w:numPr>
          <w:ilvl w:val="0"/>
          <w:numId w:val="20"/>
        </w:numPr>
        <w:spacing w:line="259" w:lineRule="auto"/>
        <w:rPr>
          <w:b/>
          <w:bCs/>
        </w:rPr>
      </w:pPr>
      <w:r>
        <w:t xml:space="preserve">FACILITY CLEARANCE. Depending on the work to be performed, the offeror may require a </w:t>
      </w:r>
      <w:r w:rsidRPr="637A3414">
        <w:rPr>
          <w:i/>
          <w:iCs/>
        </w:rPr>
        <w:t>SECRET or TOP SECRET</w:t>
      </w:r>
      <w:r>
        <w:t xml:space="preserve"> facility clearance and safeguarding capability; therefore, personnel identified for assignment to a classified effort must be cleared for access to </w:t>
      </w:r>
      <w:r w:rsidRPr="637A3414">
        <w:rPr>
          <w:i/>
          <w:iCs/>
        </w:rPr>
        <w:t>SECRET or TOP SECRET</w:t>
      </w:r>
      <w:r>
        <w:t xml:space="preserve"> information at the time of award. In addition, the offeror may be required to have, or have access to, a certified and Government-approved facility to support work under this </w:t>
      </w:r>
      <w:r w:rsidR="39C03472">
        <w:t>BAA</w:t>
      </w:r>
      <w:r w:rsidR="39C03472" w:rsidRPr="637A3414">
        <w:rPr>
          <w:b/>
          <w:bCs/>
        </w:rPr>
        <w:t>.</w:t>
      </w:r>
    </w:p>
    <w:p w14:paraId="7687B8DD" w14:textId="77777777" w:rsidR="00EB4851" w:rsidRPr="00A91F65" w:rsidRDefault="00EB4851" w:rsidP="00EB4851"/>
    <w:p w14:paraId="4FCBE94D" w14:textId="77777777" w:rsidR="00EB4851" w:rsidRDefault="00EB4851" w:rsidP="00EB4851">
      <w:pPr>
        <w:numPr>
          <w:ilvl w:val="0"/>
          <w:numId w:val="20"/>
        </w:numPr>
      </w:pPr>
      <w:r>
        <w:t xml:space="preserve">EXPORT CONTROL LAWS. Awards under this solicitation may require access to, or generation of, data subject to export control laws and regulations. Only contractors who are registered and certified with the Defense Logistics Information Service (DLIS) and have a legitimate business purpose may participate in this solicitation.  For questions, contact DLIS on-line at </w:t>
      </w:r>
      <w:hyperlink r:id="rId26">
        <w:r w:rsidRPr="212E346A">
          <w:rPr>
            <w:rStyle w:val="Hyperlink"/>
          </w:rPr>
          <w:t>http://www.dla.mil/HQ/InformationOperations/LogisticsInformationServices.aspx</w:t>
        </w:r>
      </w:hyperlink>
      <w:r>
        <w:t xml:space="preserve"> or at the DLA Logistics Information Service, 74 Washington Avenue North, Battle Creek, Michigan 49037-3084, and telephone number 1-800-352-2255 (24/7).  You must submit a copy of your approved DD Form 2345, Militarily Critical Technical Data Agreement, with your white paper/proposal.</w:t>
      </w:r>
    </w:p>
    <w:p w14:paraId="5CC201EB" w14:textId="77777777" w:rsidR="00EB4851" w:rsidRDefault="00EB4851" w:rsidP="00EB4851">
      <w:pPr>
        <w:pStyle w:val="ListParagraph"/>
      </w:pPr>
    </w:p>
    <w:p w14:paraId="19D07123" w14:textId="77777777" w:rsidR="00EB4851" w:rsidRDefault="00EB4851" w:rsidP="00EB4851">
      <w:pPr>
        <w:numPr>
          <w:ilvl w:val="0"/>
          <w:numId w:val="20"/>
        </w:numPr>
      </w:pPr>
      <w:r>
        <w:t xml:space="preserve">SMALL BUSINESS PARTICIPATION. The Government encourages the best sources from the scientific and industrial communities to propose, including small business concerns, large businesses, academia and non-profit entities. Non-small businesses are encouraged to team with small business concerns to come up with the best technical solutions and obtain the best mix of cost, performance and schedule. </w:t>
      </w:r>
    </w:p>
    <w:p w14:paraId="6C90FA3E" w14:textId="77777777" w:rsidR="00EB4851" w:rsidRDefault="00EB4851" w:rsidP="00EB4851">
      <w:pPr>
        <w:pStyle w:val="ListParagraph"/>
      </w:pPr>
    </w:p>
    <w:p w14:paraId="10DD1503" w14:textId="77777777" w:rsidR="00EB4851" w:rsidRDefault="00EB4851" w:rsidP="00EB4851">
      <w:pPr>
        <w:ind w:left="720"/>
      </w:pPr>
    </w:p>
    <w:p w14:paraId="0C7BCA91" w14:textId="77777777" w:rsidR="00EB4851" w:rsidRDefault="00EB4851" w:rsidP="00EB4851">
      <w:pPr>
        <w:numPr>
          <w:ilvl w:val="0"/>
          <w:numId w:val="20"/>
        </w:numPr>
      </w:pPr>
      <w:r>
        <w:t xml:space="preserve">ACTIONS FOR THE PROTECTION OF INTELLECTUAL PROPERTY, CONTROLLED INFORMATION, KEY PERSONNEL AND CRITICAL TECHNOLOGIES. Offerors who are </w:t>
      </w:r>
      <w:proofErr w:type="gramStart"/>
      <w:r>
        <w:t>requested to</w:t>
      </w:r>
      <w:proofErr w:type="gramEnd"/>
      <w:r>
        <w:t xml:space="preserve"> submit a proposal under this solicitation of grants, cooperative agreements, Technology Investment Agreements, and other non-procurement transactions </w:t>
      </w:r>
      <w:r w:rsidRPr="212E346A">
        <w:rPr>
          <w:b/>
          <w:bCs/>
          <w:u w:val="single"/>
        </w:rPr>
        <w:t>only</w:t>
      </w:r>
      <w:r>
        <w:t xml:space="preserve"> shall submit specific information for all key personnel, </w:t>
      </w:r>
      <w:proofErr w:type="gramStart"/>
      <w:r>
        <w:t>whether or not</w:t>
      </w:r>
      <w:proofErr w:type="gramEnd"/>
      <w:r>
        <w:t xml:space="preserve"> the individuals’ efforts under the project are to be funded by the DoD. Specific requirements will be detailed in the Request for Proposal (RFP) letter. The information shall be included in the Research and Related/Key Person Profile (Expanded) form (</w:t>
      </w:r>
      <w:hyperlink r:id="rId27">
        <w:r w:rsidRPr="212E346A">
          <w:rPr>
            <w:rStyle w:val="Hyperlink"/>
            <w:color w:val="auto"/>
          </w:rPr>
          <w:t>https://www.grants.gov/forms/r-r-family.html</w:t>
        </w:r>
      </w:hyperlink>
      <w:r>
        <w:t xml:space="preserve">). This collection only applies to persons identified as key personnel. This information shall </w:t>
      </w:r>
      <w:r w:rsidRPr="212E346A">
        <w:rPr>
          <w:u w:val="single"/>
        </w:rPr>
        <w:t>not</w:t>
      </w:r>
      <w:r>
        <w:t xml:space="preserve"> be included in the overall proposal page limits. </w:t>
      </w:r>
      <w:r w:rsidRPr="212E346A">
        <w:rPr>
          <w:b/>
          <w:bCs/>
        </w:rPr>
        <w:t>Failure to submit this information may cause the proposal to be returned without further review</w:t>
      </w:r>
      <w:r>
        <w:t xml:space="preserve">, and the DoD reserves the right to request further details before making a final determination on funding an effort. This information will be used to support protection of intellectual property, controlled information, key personnel, and information about critical technologies relevant to national security. Additionally, this information will be used to limit undue influence, including foreign talent programs, by countries that desire to exploit United States’ technology within the DoD research, science and technology, and innovation enterprise. </w:t>
      </w:r>
    </w:p>
    <w:p w14:paraId="0416D22E" w14:textId="77777777" w:rsidR="00EB4851" w:rsidRDefault="00EB4851" w:rsidP="00EB4851">
      <w:pPr>
        <w:ind w:left="720"/>
      </w:pPr>
    </w:p>
    <w:p w14:paraId="7A89D658" w14:textId="77777777" w:rsidR="00EB4851" w:rsidRPr="002E0D26" w:rsidRDefault="00EB4851" w:rsidP="00EB4851">
      <w:pPr>
        <w:pStyle w:val="PlainText"/>
        <w:ind w:firstLine="720"/>
        <w:rPr>
          <w:rFonts w:ascii="Times New Roman" w:hAnsi="Times New Roman" w:cs="Times New Roman"/>
          <w:i/>
          <w:iCs/>
          <w:sz w:val="24"/>
          <w:szCs w:val="24"/>
        </w:rPr>
      </w:pPr>
      <w:r w:rsidRPr="002E0D26">
        <w:rPr>
          <w:rFonts w:ascii="Times New Roman" w:hAnsi="Times New Roman" w:cs="Times New Roman"/>
          <w:i/>
          <w:iCs/>
          <w:sz w:val="24"/>
          <w:szCs w:val="24"/>
        </w:rPr>
        <w:t xml:space="preserve">Certification Regarding Disclosure of Funding Sources </w:t>
      </w:r>
    </w:p>
    <w:p w14:paraId="14F0F18C" w14:textId="77777777" w:rsidR="00EB4851" w:rsidRPr="002E0D26" w:rsidRDefault="00EB4851" w:rsidP="00EB4851">
      <w:pPr>
        <w:pStyle w:val="PlainText"/>
        <w:rPr>
          <w:rFonts w:ascii="Times New Roman" w:hAnsi="Times New Roman" w:cs="Times New Roman"/>
          <w:i/>
          <w:iCs/>
          <w:sz w:val="24"/>
          <w:szCs w:val="24"/>
        </w:rPr>
      </w:pPr>
    </w:p>
    <w:p w14:paraId="7A6F39D5" w14:textId="77777777" w:rsidR="00EB4851" w:rsidRPr="002E0D26" w:rsidRDefault="00EB4851" w:rsidP="00EB4851">
      <w:pPr>
        <w:pStyle w:val="PlainText"/>
        <w:ind w:left="720"/>
        <w:rPr>
          <w:rFonts w:ascii="Times New Roman" w:hAnsi="Times New Roman" w:cs="Times New Roman"/>
          <w:i/>
          <w:iCs/>
          <w:sz w:val="24"/>
          <w:szCs w:val="24"/>
        </w:rPr>
      </w:pPr>
      <w:r w:rsidRPr="002E0D26">
        <w:rPr>
          <w:rFonts w:ascii="Times New Roman" w:hAnsi="Times New Roman" w:cs="Times New Roman"/>
          <w:i/>
          <w:iCs/>
          <w:sz w:val="24"/>
          <w:szCs w:val="24"/>
        </w:rPr>
        <w:t xml:space="preserve">By submission of a white paper/proposal, you agree to abide by the following statement:  "By signing this white paper/proposal, I certify the proposing entity is in compliance with Section </w:t>
      </w:r>
      <w:r w:rsidRPr="002E0D26">
        <w:rPr>
          <w:rFonts w:ascii="Times New Roman" w:hAnsi="Times New Roman" w:cs="Times New Roman"/>
          <w:i/>
          <w:iCs/>
          <w:sz w:val="24"/>
          <w:szCs w:val="24"/>
        </w:rPr>
        <w:lastRenderedPageBreak/>
        <w:t>223(a) of the William M. (Mac) Thornberry National Defense Authorization Act for Fiscal Year 2021 which requires that: (a) the PI and other key personnel certify that the current and pending support provided on the proposal is current, accurate and complete;  (b)</w:t>
      </w:r>
      <w:r w:rsidRPr="00556DAF">
        <w:rPr>
          <w:rFonts w:ascii="Times New Roman" w:hAnsi="Times New Roman" w:cs="Times New Roman"/>
          <w:i/>
          <w:iCs/>
          <w:sz w:val="24"/>
          <w:szCs w:val="24"/>
        </w:rPr>
        <w:t xml:space="preserve"> the PI and other key personnel </w:t>
      </w:r>
      <w:r w:rsidRPr="002E0D26">
        <w:rPr>
          <w:rFonts w:ascii="Times New Roman" w:hAnsi="Times New Roman" w:cs="Times New Roman"/>
          <w:i/>
          <w:iCs/>
          <w:sz w:val="24"/>
          <w:szCs w:val="24"/>
        </w:rPr>
        <w:t>agree to update such disclosure at the request of the agency prior to the award of support and at any subsequent time the agency determines appropriate during the term of the award; and (c) the PI and other key personnel have been made aware of the requirements under Section 223(a)(1) of this Act.  I am aware that any false, fictitious, or fraudulent statements or claims may subject me to criminal, civil, or administrative penalties. (U.S. code, Title 218, Section 1001).</w:t>
      </w:r>
    </w:p>
    <w:p w14:paraId="180AA681" w14:textId="77777777" w:rsidR="00EB4851" w:rsidRPr="002731BE" w:rsidRDefault="00EB4851" w:rsidP="00EB4851"/>
    <w:p w14:paraId="6BA25BBB" w14:textId="77777777" w:rsidR="00EB4851" w:rsidRPr="002731BE" w:rsidRDefault="00EB4851" w:rsidP="00EB4851">
      <w:pPr>
        <w:pStyle w:val="ListParagraph"/>
      </w:pPr>
    </w:p>
    <w:p w14:paraId="4EA60FF7" w14:textId="2EA131A3" w:rsidR="00EB4851" w:rsidRPr="002731BE" w:rsidRDefault="00EB4851" w:rsidP="00EB4851">
      <w:pPr>
        <w:numPr>
          <w:ilvl w:val="0"/>
          <w:numId w:val="20"/>
        </w:numPr>
      </w:pPr>
      <w:r>
        <w:t xml:space="preserve">BURDEN REDUCTION. </w:t>
      </w:r>
      <w:proofErr w:type="gramStart"/>
      <w:r>
        <w:t>With the exception of</w:t>
      </w:r>
      <w:proofErr w:type="gramEnd"/>
      <w:r>
        <w:t xml:space="preserve"> paragraph d. above, </w:t>
      </w:r>
      <w:proofErr w:type="gramStart"/>
      <w:r>
        <w:t>in order to</w:t>
      </w:r>
      <w:proofErr w:type="gramEnd"/>
      <w:r>
        <w:t xml:space="preserve"> reduce grant recipient reporting burden, effective 1 JAN 2019, use of the SF-424B is optional. Also, effective 1 JAN 2020, the SAM will become the central repository for common government-wide certifications and representations required of Federal grants recipients. As registration in SAM is required for eligibility for a Federal award and registration must be updated annually, Federal agencies will use SAM information to comply with award requirements and avoid increased burden and costs of separate requests for such information, unless the recipient fails to meet a Federal award requirement, or there is a need to make updates to their SAM registration for other purposes. (OMB Memorandum M 18-24).  </w:t>
      </w:r>
    </w:p>
    <w:p w14:paraId="53BF5A76" w14:textId="77777777" w:rsidR="00EB4851" w:rsidRPr="00A91F65" w:rsidRDefault="00EB4851" w:rsidP="00EB4851"/>
    <w:p w14:paraId="6EFE31A3" w14:textId="77777777" w:rsidR="00EB4851" w:rsidRPr="00A91F65" w:rsidRDefault="00EB4851" w:rsidP="00EB4851">
      <w:r w:rsidRPr="00A91F65">
        <w:t xml:space="preserve">5.  DATA RIGHTS: </w:t>
      </w:r>
    </w:p>
    <w:p w14:paraId="28C33313" w14:textId="77777777" w:rsidR="00EB4851" w:rsidRPr="00A91F65" w:rsidRDefault="00EB4851" w:rsidP="00EB4851"/>
    <w:p w14:paraId="638B394A" w14:textId="77777777" w:rsidR="00EB4851" w:rsidRPr="00A91F65" w:rsidRDefault="00EB4851" w:rsidP="00EB4851">
      <w:pPr>
        <w:numPr>
          <w:ilvl w:val="0"/>
          <w:numId w:val="10"/>
        </w:numPr>
      </w:pPr>
      <w:r w:rsidRPr="00A91F65">
        <w:t xml:space="preserve">SBIR RIGHTS.  The potential for inclusion of Small Business Innovation Research (SBIR) or data rights other than unlimited on awards is recognized.  In accordance with (IAW) the Small Business Administration (SBA) SBIR Policy Directive, Section 8(b), SBIR data rights clauses are non-negotiable and must not be the subject of negotiations pertaining to an </w:t>
      </w:r>
      <w:proofErr w:type="gramStart"/>
      <w:r w:rsidRPr="00A91F65">
        <w:t>award, or</w:t>
      </w:r>
      <w:proofErr w:type="gramEnd"/>
      <w:r w:rsidRPr="00A91F65">
        <w:t xml:space="preserve"> diminished or removed during award administration.  Issuance of an award will not be made conditional based on forfeit of data rights. If the SBIR awardee wishes to transfer its SBIR data rights to the Air Force or to a third party, it must do so in writing under a separate agreement. A decision by the awardee to relinquish, transfer, or modify in any way its SBIR data rights must be made without pressure or coercion by the agency or any other party.  </w:t>
      </w:r>
    </w:p>
    <w:p w14:paraId="6F21C078" w14:textId="77777777" w:rsidR="00EB4851" w:rsidRPr="00A91F65" w:rsidRDefault="00EB4851" w:rsidP="00EB4851"/>
    <w:p w14:paraId="7CE1ADB5" w14:textId="77777777" w:rsidR="00EB4851" w:rsidRPr="00A91F65" w:rsidRDefault="00EB4851" w:rsidP="00EB4851">
      <w:pPr>
        <w:numPr>
          <w:ilvl w:val="0"/>
          <w:numId w:val="10"/>
        </w:numPr>
      </w:pPr>
      <w:r w:rsidRPr="00A91F65">
        <w:t xml:space="preserve">NON-SBIR RIGHTS. </w:t>
      </w:r>
    </w:p>
    <w:p w14:paraId="78D1EB2B" w14:textId="77777777" w:rsidR="00EB4851" w:rsidRPr="00A91F65" w:rsidRDefault="00EB4851" w:rsidP="00EB4851">
      <w:r w:rsidRPr="00A91F65">
        <w:t xml:space="preserve"> </w:t>
      </w:r>
    </w:p>
    <w:p w14:paraId="2837B88C" w14:textId="77777777" w:rsidR="00EB4851" w:rsidRPr="00A91F65" w:rsidRDefault="00EB4851" w:rsidP="00EB4851">
      <w:pPr>
        <w:numPr>
          <w:ilvl w:val="0"/>
          <w:numId w:val="9"/>
        </w:numPr>
      </w:pPr>
      <w:r w:rsidRPr="00A91F65">
        <w:t>Non-SBIR data rights less than unlimited will be evaluated and negotiated on a case-by-case basis.  Government Purpose Rights are anticipated for data developed with DoD–reimbursed Independent Research and Development (IR&amp;D) funding.</w:t>
      </w:r>
    </w:p>
    <w:p w14:paraId="7CAFAA4C" w14:textId="77777777" w:rsidR="00EB4851" w:rsidRPr="00A91F65" w:rsidRDefault="00EB4851" w:rsidP="00EB4851">
      <w:pPr>
        <w:numPr>
          <w:ilvl w:val="0"/>
          <w:numId w:val="9"/>
        </w:numPr>
      </w:pPr>
      <w:r w:rsidRPr="00A91F65">
        <w:t>The Air Force Research Laboratory is engaged in the discovery, development, and integration of warfighting technologies for our air, space, and cyberspace forces. As such, rights in technical data and noncommercial computer software (NCS) developed or delivered under this contract are of significant concern to the Government. The Government will therefore carefully consider any restrictions on the use of technical data, NCS, and NCS documentation which could result in transition difficulty or less-than full and open competition for subsequent development of this technology.</w:t>
      </w:r>
    </w:p>
    <w:p w14:paraId="7A2524D6" w14:textId="77777777" w:rsidR="00EB4851" w:rsidRPr="00A91F65" w:rsidRDefault="00EB4851" w:rsidP="00EB4851">
      <w:pPr>
        <w:numPr>
          <w:ilvl w:val="0"/>
          <w:numId w:val="9"/>
        </w:numPr>
      </w:pPr>
      <w:r w:rsidRPr="00A91F65">
        <w:t xml:space="preserve">Third Party Software.  DFARS 252.227-7014(d) describes requirements for incorporation of </w:t>
      </w:r>
      <w:proofErr w:type="gramStart"/>
      <w:r w:rsidRPr="00A91F65">
        <w:t>third party</w:t>
      </w:r>
      <w:proofErr w:type="gramEnd"/>
      <w:r w:rsidRPr="00A91F65">
        <w:t xml:space="preserve"> computer software. Any </w:t>
      </w:r>
      <w:proofErr w:type="gramStart"/>
      <w:r w:rsidRPr="00A91F65">
        <w:t>third party</w:t>
      </w:r>
      <w:proofErr w:type="gramEnd"/>
      <w:r w:rsidRPr="00A91F65">
        <w:t xml:space="preserve"> software (commercial and noncommercial) to be incorporated into a deliverable must be clearly identified in the proposal. Prior to delivery of any </w:t>
      </w:r>
      <w:proofErr w:type="gramStart"/>
      <w:r w:rsidRPr="00A91F65">
        <w:t>third party</w:t>
      </w:r>
      <w:proofErr w:type="gramEnd"/>
      <w:r w:rsidRPr="00A91F65">
        <w:t xml:space="preserve"> software, the contractor will obtain an </w:t>
      </w:r>
      <w:r w:rsidRPr="00A91F65">
        <w:lastRenderedPageBreak/>
        <w:t>appropriate license for the Government, and the written approval of the contracting officer.</w:t>
      </w:r>
    </w:p>
    <w:p w14:paraId="7E031010" w14:textId="77777777" w:rsidR="00EB4851" w:rsidRPr="00A91F65" w:rsidRDefault="00EB4851" w:rsidP="00EB4851"/>
    <w:p w14:paraId="568C2C6C" w14:textId="77777777" w:rsidR="00EB4851" w:rsidRPr="00A91F65" w:rsidRDefault="00EB4851" w:rsidP="00EB4851">
      <w:pPr>
        <w:numPr>
          <w:ilvl w:val="0"/>
          <w:numId w:val="10"/>
        </w:numPr>
      </w:pPr>
      <w:r w:rsidRPr="00A91F65">
        <w:t xml:space="preserve"> IDENTIFICATION &amp; ASSERTION.  IAW DFARS 252.22</w:t>
      </w:r>
      <w:r>
        <w:t>7-7017, the Identification and A</w:t>
      </w:r>
      <w:r w:rsidRPr="00A91F65">
        <w:t>ssertion of Use, Release, or Disclosure Restriction provision applies.  See AFRL/RI Specific Proposal Preparation Instructions for further guidance and samples.</w:t>
      </w:r>
    </w:p>
    <w:p w14:paraId="5A9119C1" w14:textId="77777777" w:rsidR="00EB4851" w:rsidRPr="00A91F65" w:rsidRDefault="00EB4851" w:rsidP="00EB4851"/>
    <w:p w14:paraId="0B95D7E2" w14:textId="77777777" w:rsidR="00EB4851" w:rsidRPr="00A91F65" w:rsidRDefault="00EB4851" w:rsidP="00EB4851">
      <w:r w:rsidRPr="00A91F65">
        <w:t xml:space="preserve">6.  REPORTING:   </w:t>
      </w:r>
    </w:p>
    <w:p w14:paraId="0E87B99E" w14:textId="77777777" w:rsidR="00EB4851" w:rsidRDefault="00EB4851" w:rsidP="00EB4851">
      <w:pPr>
        <w:ind w:left="300"/>
      </w:pPr>
      <w:r w:rsidRPr="00A91F65">
        <w:t xml:space="preserve">a. Contract Applicable:  Once a proposal has been selected for award, offerors will be given complete instructions on the submission process for the reports.  </w:t>
      </w:r>
    </w:p>
    <w:p w14:paraId="07E8A4F0" w14:textId="77777777" w:rsidR="00EB4851" w:rsidRPr="00A91F65" w:rsidRDefault="00EB4851" w:rsidP="00EB4851">
      <w:pPr>
        <w:ind w:left="300"/>
      </w:pPr>
    </w:p>
    <w:p w14:paraId="030C4A0E" w14:textId="77777777" w:rsidR="00EB4851" w:rsidRPr="00A91F65" w:rsidRDefault="00EB4851" w:rsidP="00EB4851">
      <w:pPr>
        <w:ind w:left="300"/>
      </w:pPr>
      <w:r>
        <w:t xml:space="preserve">b. </w:t>
      </w:r>
      <w:r w:rsidRPr="00A91F65">
        <w:t xml:space="preserve">FAPIIS Applicable:  As required by 2 CFR 200 Appendix XII of the Uniform Guidance and FAR 9.104-6, non-federal entities (NFEs) are required to disclose in FAPIIS any information about criminal, civil, and administrative proceedings, and/or affirm that there is no new information to provide.  This applies to NFEs that receive federal awards (currently active grants, cooperative agreements, and procurement contracts) greater than $10,000,000 for any </w:t>
      </w:r>
      <w:proofErr w:type="gramStart"/>
      <w:r w:rsidRPr="00A91F65">
        <w:t>period of time</w:t>
      </w:r>
      <w:proofErr w:type="gramEnd"/>
      <w:r w:rsidRPr="00A91F65">
        <w:t xml:space="preserve"> during the period of performance of an award/project.</w:t>
      </w:r>
    </w:p>
    <w:p w14:paraId="0981BDC7" w14:textId="77777777" w:rsidR="00EB4851" w:rsidRPr="00A91F65" w:rsidRDefault="00EB4851" w:rsidP="00EB4851"/>
    <w:p w14:paraId="515A21BC" w14:textId="77777777" w:rsidR="00EB4851" w:rsidRDefault="00EB4851" w:rsidP="00EB4851">
      <w:r w:rsidRPr="00A91F65">
        <w:t>7.  NOTICE:  The following provisions* apply:</w:t>
      </w:r>
    </w:p>
    <w:p w14:paraId="09CCFABD" w14:textId="77777777" w:rsidR="00EB4851" w:rsidRPr="00A91F65" w:rsidRDefault="00EB4851" w:rsidP="00EB4851"/>
    <w:p w14:paraId="57D57FE0" w14:textId="77777777" w:rsidR="00EF0184" w:rsidRPr="00EF0184" w:rsidRDefault="00EF0184" w:rsidP="00EF0184">
      <w:r w:rsidRPr="00EF0184">
        <w:t> </w:t>
      </w:r>
    </w:p>
    <w:p w14:paraId="349797F5" w14:textId="77777777" w:rsidR="00EF0184" w:rsidRPr="00EF0184" w:rsidRDefault="00EF0184" w:rsidP="00EF0184">
      <w:pPr>
        <w:numPr>
          <w:ilvl w:val="0"/>
          <w:numId w:val="43"/>
        </w:numPr>
        <w:rPr>
          <w:b/>
          <w:bCs/>
        </w:rPr>
      </w:pPr>
      <w:r w:rsidRPr="00EF0184">
        <w:rPr>
          <w:b/>
          <w:bCs/>
        </w:rPr>
        <w:t>FAR 52.204-7, System for Award Management </w:t>
      </w:r>
    </w:p>
    <w:p w14:paraId="36AD54D7" w14:textId="77777777" w:rsidR="00EF0184" w:rsidRPr="00EF0184" w:rsidRDefault="00EF0184" w:rsidP="00EF0184">
      <w:pPr>
        <w:numPr>
          <w:ilvl w:val="0"/>
          <w:numId w:val="44"/>
        </w:numPr>
        <w:rPr>
          <w:b/>
          <w:bCs/>
        </w:rPr>
      </w:pPr>
      <w:r w:rsidRPr="00EF0184">
        <w:rPr>
          <w:b/>
          <w:bCs/>
        </w:rPr>
        <w:t>FAR 52.204-16, Commercial and Government Entity Code Reporting </w:t>
      </w:r>
    </w:p>
    <w:p w14:paraId="329C96D8" w14:textId="77777777" w:rsidR="00EF0184" w:rsidRPr="00EF0184" w:rsidRDefault="00EF0184" w:rsidP="00EF0184">
      <w:pPr>
        <w:numPr>
          <w:ilvl w:val="0"/>
          <w:numId w:val="45"/>
        </w:numPr>
        <w:rPr>
          <w:b/>
          <w:bCs/>
        </w:rPr>
      </w:pPr>
      <w:r w:rsidRPr="00EF0184">
        <w:rPr>
          <w:b/>
          <w:bCs/>
        </w:rPr>
        <w:t xml:space="preserve">FAR 52.204-22, Alternative </w:t>
      </w:r>
      <w:proofErr w:type="gramStart"/>
      <w:r w:rsidRPr="00EF0184">
        <w:rPr>
          <w:b/>
          <w:bCs/>
        </w:rPr>
        <w:t>Line Item</w:t>
      </w:r>
      <w:proofErr w:type="gramEnd"/>
      <w:r w:rsidRPr="00EF0184">
        <w:rPr>
          <w:b/>
          <w:bCs/>
        </w:rPr>
        <w:t xml:space="preserve"> Proposal </w:t>
      </w:r>
    </w:p>
    <w:p w14:paraId="3C53B509" w14:textId="77777777" w:rsidR="00EF0184" w:rsidRPr="00EF0184" w:rsidRDefault="00EF0184" w:rsidP="00EF0184">
      <w:pPr>
        <w:numPr>
          <w:ilvl w:val="0"/>
          <w:numId w:val="46"/>
        </w:numPr>
        <w:rPr>
          <w:b/>
          <w:bCs/>
        </w:rPr>
      </w:pPr>
      <w:r w:rsidRPr="00EF0184">
        <w:rPr>
          <w:b/>
          <w:bCs/>
        </w:rPr>
        <w:t>FAR 52.204-29, Federal Acquisition Supply Chain Security Act Orders-Representation and Disclosures </w:t>
      </w:r>
    </w:p>
    <w:p w14:paraId="7254E891" w14:textId="77777777" w:rsidR="00EF0184" w:rsidRPr="00EF0184" w:rsidRDefault="00EF0184" w:rsidP="00EF0184">
      <w:pPr>
        <w:numPr>
          <w:ilvl w:val="0"/>
          <w:numId w:val="47"/>
        </w:numPr>
        <w:rPr>
          <w:b/>
          <w:bCs/>
        </w:rPr>
      </w:pPr>
      <w:r w:rsidRPr="00EF0184">
        <w:rPr>
          <w:b/>
          <w:bCs/>
        </w:rPr>
        <w:t>FAR 52.211-14, Notice of Priority Rating for National Defense, Emergency Preparedness, and Energy Program Use </w:t>
      </w:r>
    </w:p>
    <w:p w14:paraId="3E6AFBC3" w14:textId="77777777" w:rsidR="00EF0184" w:rsidRPr="00EF0184" w:rsidRDefault="00EF0184" w:rsidP="00EF0184">
      <w:pPr>
        <w:numPr>
          <w:ilvl w:val="0"/>
          <w:numId w:val="48"/>
        </w:numPr>
        <w:rPr>
          <w:b/>
          <w:bCs/>
        </w:rPr>
      </w:pPr>
      <w:r w:rsidRPr="00EF0184">
        <w:rPr>
          <w:b/>
          <w:bCs/>
        </w:rPr>
        <w:t>FAR 52.232-</w:t>
      </w:r>
      <w:proofErr w:type="gramStart"/>
      <w:r w:rsidRPr="00EF0184">
        <w:rPr>
          <w:b/>
          <w:bCs/>
        </w:rPr>
        <w:t>2,</w:t>
      </w:r>
      <w:proofErr w:type="gramEnd"/>
      <w:r w:rsidRPr="00EF0184">
        <w:rPr>
          <w:b/>
          <w:bCs/>
        </w:rPr>
        <w:t xml:space="preserve"> Service of Protest </w:t>
      </w:r>
    </w:p>
    <w:p w14:paraId="29492FB3" w14:textId="77777777" w:rsidR="00EF0184" w:rsidRPr="00EF0184" w:rsidRDefault="00EF0184" w:rsidP="00EF0184">
      <w:pPr>
        <w:numPr>
          <w:ilvl w:val="0"/>
          <w:numId w:val="49"/>
        </w:numPr>
        <w:rPr>
          <w:b/>
          <w:bCs/>
        </w:rPr>
      </w:pPr>
      <w:r w:rsidRPr="00EF0184">
        <w:rPr>
          <w:b/>
          <w:bCs/>
        </w:rPr>
        <w:t>DFARS 252.203-7005, Representation Relating to Compensation of Former DoD Officials </w:t>
      </w:r>
    </w:p>
    <w:p w14:paraId="77B7A0EB" w14:textId="77777777" w:rsidR="00EF0184" w:rsidRPr="00EF0184" w:rsidRDefault="00EF0184" w:rsidP="00EF0184">
      <w:pPr>
        <w:numPr>
          <w:ilvl w:val="0"/>
          <w:numId w:val="50"/>
        </w:numPr>
        <w:rPr>
          <w:b/>
          <w:bCs/>
        </w:rPr>
      </w:pPr>
      <w:r w:rsidRPr="00EF0184">
        <w:rPr>
          <w:b/>
          <w:bCs/>
        </w:rPr>
        <w:t>DFARS 252.204-7008, Compliance with Safeguarding Covered Defense Information Controls </w:t>
      </w:r>
    </w:p>
    <w:p w14:paraId="5AA54EBB" w14:textId="77777777" w:rsidR="00EF0184" w:rsidRPr="00EF0184" w:rsidRDefault="00EF0184" w:rsidP="00EF0184">
      <w:pPr>
        <w:numPr>
          <w:ilvl w:val="0"/>
          <w:numId w:val="51"/>
        </w:numPr>
        <w:rPr>
          <w:b/>
          <w:bCs/>
        </w:rPr>
      </w:pPr>
      <w:r w:rsidRPr="00EF0184">
        <w:rPr>
          <w:b/>
          <w:bCs/>
        </w:rPr>
        <w:t>DFARS 252.204-7019, Notice of NISTSP 800-171 DoD Assessment Requirements </w:t>
      </w:r>
    </w:p>
    <w:p w14:paraId="12CA436A" w14:textId="77777777" w:rsidR="00EF0184" w:rsidRPr="00EF0184" w:rsidRDefault="00EF0184" w:rsidP="00EF0184">
      <w:pPr>
        <w:numPr>
          <w:ilvl w:val="0"/>
          <w:numId w:val="52"/>
        </w:numPr>
        <w:rPr>
          <w:b/>
          <w:bCs/>
        </w:rPr>
      </w:pPr>
      <w:r w:rsidRPr="00EF0184">
        <w:rPr>
          <w:b/>
          <w:bCs/>
        </w:rPr>
        <w:t>DFARS 252.204-7024, Notice on the Use of the Supplier Performance Risk System </w:t>
      </w:r>
    </w:p>
    <w:p w14:paraId="7488E710" w14:textId="77777777" w:rsidR="00EF0184" w:rsidRPr="00EF0184" w:rsidRDefault="00EF0184" w:rsidP="00EF0184">
      <w:pPr>
        <w:numPr>
          <w:ilvl w:val="0"/>
          <w:numId w:val="53"/>
        </w:numPr>
        <w:rPr>
          <w:b/>
          <w:bCs/>
        </w:rPr>
      </w:pPr>
      <w:r w:rsidRPr="00EF0184">
        <w:rPr>
          <w:b/>
          <w:bCs/>
        </w:rPr>
        <w:t>DFARS 252.215-7009, Proposal Adequacy Checklist </w:t>
      </w:r>
    </w:p>
    <w:p w14:paraId="43153B70" w14:textId="77777777" w:rsidR="00EF0184" w:rsidRPr="00EF0184" w:rsidRDefault="00EF0184" w:rsidP="00EF0184">
      <w:pPr>
        <w:numPr>
          <w:ilvl w:val="0"/>
          <w:numId w:val="54"/>
        </w:numPr>
        <w:rPr>
          <w:b/>
          <w:bCs/>
        </w:rPr>
      </w:pPr>
      <w:r w:rsidRPr="00EF0184">
        <w:rPr>
          <w:b/>
          <w:bCs/>
        </w:rPr>
        <w:t>DFARS 252.215-7013, Supplies and Services Provided by Nontraditional Defense Contractors  </w:t>
      </w:r>
    </w:p>
    <w:p w14:paraId="2095FD73" w14:textId="77777777" w:rsidR="00EF0184" w:rsidRPr="00EF0184" w:rsidRDefault="00EF0184" w:rsidP="00EF0184">
      <w:pPr>
        <w:numPr>
          <w:ilvl w:val="0"/>
          <w:numId w:val="55"/>
        </w:numPr>
        <w:rPr>
          <w:b/>
          <w:bCs/>
        </w:rPr>
      </w:pPr>
      <w:r w:rsidRPr="00EF0184">
        <w:rPr>
          <w:b/>
          <w:bCs/>
        </w:rPr>
        <w:t>DFARS 252.225-7055, Representation Regarding Business Operations with the Maduro Regime </w:t>
      </w:r>
    </w:p>
    <w:p w14:paraId="3528DC60" w14:textId="77777777" w:rsidR="00EF0184" w:rsidRPr="00EF0184" w:rsidRDefault="00EF0184" w:rsidP="00EF0184">
      <w:pPr>
        <w:numPr>
          <w:ilvl w:val="0"/>
          <w:numId w:val="56"/>
        </w:numPr>
        <w:rPr>
          <w:b/>
          <w:bCs/>
        </w:rPr>
      </w:pPr>
      <w:r w:rsidRPr="00EF0184">
        <w:rPr>
          <w:b/>
          <w:bCs/>
        </w:rPr>
        <w:t xml:space="preserve">DFARS 252.225-7057, </w:t>
      </w:r>
      <w:proofErr w:type="spellStart"/>
      <w:r w:rsidRPr="00EF0184">
        <w:rPr>
          <w:b/>
          <w:bCs/>
        </w:rPr>
        <w:t>Preaward</w:t>
      </w:r>
      <w:proofErr w:type="spellEnd"/>
      <w:r w:rsidRPr="00EF0184">
        <w:rPr>
          <w:b/>
          <w:bCs/>
        </w:rPr>
        <w:t xml:space="preserve"> Disclosure of Employment of Individuals Who Work in the People’s Republic of China </w:t>
      </w:r>
    </w:p>
    <w:p w14:paraId="7B9B202B" w14:textId="77777777" w:rsidR="00EF0184" w:rsidRPr="00EF0184" w:rsidRDefault="00EF0184" w:rsidP="00EF0184">
      <w:pPr>
        <w:numPr>
          <w:ilvl w:val="0"/>
          <w:numId w:val="57"/>
        </w:numPr>
        <w:rPr>
          <w:b/>
          <w:bCs/>
        </w:rPr>
      </w:pPr>
      <w:r w:rsidRPr="00EF0184">
        <w:rPr>
          <w:b/>
          <w:bCs/>
        </w:rPr>
        <w:t>DFARS 252.225-7059, Prohibition on Certain Procurements from the Xinjiang Uyghur Autonomous Region-Representation </w:t>
      </w:r>
    </w:p>
    <w:p w14:paraId="092E14E6" w14:textId="77777777" w:rsidR="00EF0184" w:rsidRPr="00EF0184" w:rsidRDefault="00EF0184" w:rsidP="00EF0184">
      <w:pPr>
        <w:numPr>
          <w:ilvl w:val="0"/>
          <w:numId w:val="58"/>
        </w:numPr>
        <w:rPr>
          <w:b/>
          <w:bCs/>
        </w:rPr>
      </w:pPr>
      <w:r w:rsidRPr="00EF0184">
        <w:rPr>
          <w:b/>
          <w:bCs/>
        </w:rPr>
        <w:t>DFARS 252.227-7028, Technical Data or Computer Software Previously Delivered to the Government </w:t>
      </w:r>
    </w:p>
    <w:p w14:paraId="47E47806" w14:textId="77777777" w:rsidR="00EF0184" w:rsidRPr="00EF0184" w:rsidRDefault="00EF0184" w:rsidP="00EF0184">
      <w:pPr>
        <w:numPr>
          <w:ilvl w:val="0"/>
          <w:numId w:val="59"/>
        </w:numPr>
        <w:rPr>
          <w:b/>
          <w:bCs/>
        </w:rPr>
      </w:pPr>
      <w:r w:rsidRPr="00EF0184">
        <w:rPr>
          <w:b/>
          <w:bCs/>
        </w:rPr>
        <w:t>DFARS 252.239-7017, Notice of Supply Chain Risk  </w:t>
      </w:r>
    </w:p>
    <w:p w14:paraId="22DD4810" w14:textId="77777777" w:rsidR="00EF0184" w:rsidRPr="00EF0184" w:rsidRDefault="00EF0184" w:rsidP="00EF0184">
      <w:pPr>
        <w:numPr>
          <w:ilvl w:val="0"/>
          <w:numId w:val="60"/>
        </w:numPr>
        <w:rPr>
          <w:b/>
          <w:bCs/>
        </w:rPr>
      </w:pPr>
      <w:r w:rsidRPr="00EF0184">
        <w:rPr>
          <w:b/>
          <w:bCs/>
        </w:rPr>
        <w:t>DFARS 252.239-7098, Prohibition on Contracting to Maintain or Establish a Computer Network Unless Such Network is Designed to Block Access to Certain Websites-Representation (Deviation 2021-O0003) (APR 2021) </w:t>
      </w:r>
    </w:p>
    <w:p w14:paraId="718FB00E" w14:textId="77777777" w:rsidR="00EB4851" w:rsidRPr="00A91F65" w:rsidRDefault="00EB4851" w:rsidP="00EB4851"/>
    <w:p w14:paraId="30621009" w14:textId="77777777" w:rsidR="00EB4851" w:rsidRPr="00A91F65" w:rsidRDefault="00EB4851" w:rsidP="00EB4851">
      <w:r w:rsidRPr="00A91F65">
        <w:lastRenderedPageBreak/>
        <w:t>* Please note that the current versions or deviations of the related clauses will be included in any resulting contract.</w:t>
      </w:r>
      <w:r>
        <w:t xml:space="preserve"> Additional provisions may be included in any resultant contract, dependent upon each individual effort. </w:t>
      </w:r>
    </w:p>
    <w:p w14:paraId="3D0DF8EB" w14:textId="77777777" w:rsidR="00EB4851" w:rsidRDefault="00EB4851" w:rsidP="00EB4851"/>
    <w:p w14:paraId="669C68BA" w14:textId="3CAA2A4F" w:rsidR="00EB4851" w:rsidRPr="00F14703" w:rsidRDefault="00EB4851" w:rsidP="212E346A"/>
    <w:p w14:paraId="196A8F93" w14:textId="77777777" w:rsidR="00EB4851" w:rsidRDefault="00EB4851" w:rsidP="00EB4851">
      <w:r w:rsidRPr="00A91F65">
        <w:t xml:space="preserve">8.  </w:t>
      </w:r>
      <w:r w:rsidRPr="00A91F65">
        <w:rPr>
          <w:b/>
          <w:u w:val="single"/>
        </w:rPr>
        <w:t>GRANT AWARDS ONLY</w:t>
      </w:r>
      <w:r w:rsidRPr="00A91F65">
        <w:t xml:space="preserve">:  For efforts proposed as grant awards, offerors must provide an abstract in their proposal (not to exceed one page) that is </w:t>
      </w:r>
      <w:r>
        <w:t>publicly</w:t>
      </w:r>
      <w:r w:rsidRPr="00A91F65">
        <w:t xml:space="preserve"> releasable and that describes - in terms the public may understand - the project or program supported by the grant.  If the proposal is selected for award, the DoD will </w:t>
      </w:r>
      <w:r>
        <w:t>publicly</w:t>
      </w:r>
      <w:r w:rsidRPr="00A91F65">
        <w:t xml:space="preserve"> post the abstract to comply with Section 8123 of the Department of Defense Appropriations Act, 2015 (Pub. L. 113-235).</w:t>
      </w:r>
    </w:p>
    <w:p w14:paraId="2812B260" w14:textId="77777777" w:rsidR="00EB4851" w:rsidRDefault="00EB4851" w:rsidP="00EB4851"/>
    <w:p w14:paraId="7051DAA6" w14:textId="77777777" w:rsidR="00EB4851" w:rsidRDefault="00EB4851" w:rsidP="00EB4851">
      <w:r>
        <w:t xml:space="preserve">9. </w:t>
      </w:r>
      <w:r w:rsidRPr="005F42E8">
        <w:rPr>
          <w:b/>
          <w:u w:val="single"/>
        </w:rPr>
        <w:t>TECHNOLOGY INCENTIVE RANGE</w:t>
      </w:r>
      <w:r>
        <w:t xml:space="preserve">: AFRL/RI does not expect R&amp;D efforts to qualify for the Technology Incentive Range as defined in DFARS 215.404-71-2(d)(4) when calculating performance risk using the Weighted Guidelines method. The incentive is to be applied for </w:t>
      </w:r>
      <w:proofErr w:type="gramStart"/>
      <w:r>
        <w:t>technology</w:t>
      </w:r>
      <w:proofErr w:type="gramEnd"/>
      <w:r>
        <w:t xml:space="preserve"> innovation for mature, operational, non-prototype type systems only. </w:t>
      </w:r>
    </w:p>
    <w:p w14:paraId="7F4B9F71" w14:textId="77777777" w:rsidR="00EF0184" w:rsidRDefault="00EF0184" w:rsidP="00EB4851"/>
    <w:p w14:paraId="5DFF7BAD" w14:textId="77777777" w:rsidR="00EF0184" w:rsidRPr="00EF0184" w:rsidRDefault="00EF0184" w:rsidP="00EF0184">
      <w:pPr>
        <w:rPr>
          <w:b/>
          <w:bCs/>
        </w:rPr>
      </w:pPr>
      <w:r w:rsidRPr="00EF0184">
        <w:rPr>
          <w:b/>
          <w:bCs/>
        </w:rPr>
        <w:t xml:space="preserve">10. </w:t>
      </w:r>
      <w:r w:rsidRPr="00EF0184">
        <w:rPr>
          <w:b/>
          <w:bCs/>
          <w:u w:val="single"/>
        </w:rPr>
        <w:t>GENERALLY ACCEPTED ACCOUNTING PRINCIPLES (GAAP) COMPLIANCE</w:t>
      </w:r>
      <w:r w:rsidRPr="00EF0184">
        <w:rPr>
          <w:b/>
          <w:bCs/>
        </w:rPr>
        <w:t xml:space="preserve">: When proposing an Other Transaction (OT), provide documentation that your accounting system is GAAP compliant. Offerors must also </w:t>
      </w:r>
      <w:proofErr w:type="spellStart"/>
      <w:r w:rsidRPr="00EF0184">
        <w:rPr>
          <w:b/>
          <w:bCs/>
        </w:rPr>
        <w:t>self certify</w:t>
      </w:r>
      <w:proofErr w:type="spellEnd"/>
      <w:r w:rsidRPr="00EF0184">
        <w:rPr>
          <w:b/>
          <w:bCs/>
        </w:rPr>
        <w:t xml:space="preserve"> that they (or their subcontractor who will be participating to a significant extent) are a Nontraditional Defense Contractor, who is defined as an entity that is not currently performing and has not performed, within one year period prior to solicitation, any contract or subcontract for the DoD subject to full CAS coverage. </w:t>
      </w:r>
    </w:p>
    <w:p w14:paraId="2D387C35" w14:textId="77777777" w:rsidR="00EF0184" w:rsidRPr="00EF0184" w:rsidRDefault="00EF0184" w:rsidP="00EF0184">
      <w:r w:rsidRPr="00EF0184">
        <w:t> </w:t>
      </w:r>
    </w:p>
    <w:p w14:paraId="6B01C75B" w14:textId="77777777" w:rsidR="00EF0184" w:rsidRPr="00EF0184" w:rsidRDefault="00EF0184" w:rsidP="00EF0184">
      <w:r w:rsidRPr="00EF0184">
        <w:t xml:space="preserve">11. </w:t>
      </w:r>
      <w:r w:rsidRPr="00EF0184">
        <w:rPr>
          <w:b/>
          <w:bCs/>
          <w:u w:val="single"/>
        </w:rPr>
        <w:t>FINANCIAL RESOURCES:</w:t>
      </w:r>
      <w:r w:rsidRPr="00EF0184">
        <w:t xml:space="preserve"> Proposals shall include information to determine adequate financial resources to perform the effort, taking into consideration all existing commercial and governmental business commitments. See DFARS 232.072-2(b) for a list of the types of information used to support financial responsibility. Examples include financial statements (e.g. Balance Sheet, Income Statement, Cash Flow Statement, Compensation); disclosures of previous insolvency; business case/cash flow forecasts; financing arrangements; and/or letters of good standing from accredited financial institutions. Proposals shall also include all significant ratios as outlined in DFARS 232.072-2(b)(10)(i)-(vi). This requirement only applies to FAR based awards.  </w:t>
      </w:r>
    </w:p>
    <w:p w14:paraId="4EDCD1CE" w14:textId="77777777" w:rsidR="00EF0184" w:rsidRPr="00A91F65" w:rsidRDefault="00EF0184" w:rsidP="00EB4851"/>
    <w:p w14:paraId="0F3E00FA" w14:textId="77777777" w:rsidR="00EB4851" w:rsidRPr="00D95F5B" w:rsidRDefault="00EB4851" w:rsidP="00EB4851"/>
    <w:p w14:paraId="58B8353C" w14:textId="77777777" w:rsidR="00EB4851" w:rsidRPr="00D95F5B" w:rsidRDefault="00EB4851" w:rsidP="00EB4851">
      <w:r w:rsidRPr="00D95F5B">
        <w:rPr>
          <w:b/>
        </w:rPr>
        <w:t>VII.  AGENCY CONTACTS</w:t>
      </w:r>
      <w:r w:rsidRPr="00D95F5B">
        <w:t>:</w:t>
      </w:r>
    </w:p>
    <w:p w14:paraId="2DDF2467" w14:textId="77777777" w:rsidR="00EB4851" w:rsidRPr="00D95F5B" w:rsidRDefault="00EB4851" w:rsidP="00EB4851"/>
    <w:p w14:paraId="64844295" w14:textId="77777777" w:rsidR="00EB4851" w:rsidRPr="00D95F5B" w:rsidRDefault="00EB4851" w:rsidP="00EB4851">
      <w:r w:rsidRPr="00D95F5B">
        <w:t>All white paper and proposal submissions and any questions of a technical nature shall be directed to the cognizant TPOC as specified below (unless otherwise specified in the technical area):</w:t>
      </w:r>
    </w:p>
    <w:p w14:paraId="40FB2CB0" w14:textId="77777777" w:rsidR="00EB4851" w:rsidRPr="00D95F5B" w:rsidRDefault="00EB4851" w:rsidP="00EB4851"/>
    <w:p w14:paraId="7EEE3E9D" w14:textId="0626BF1A" w:rsidR="00EB4851" w:rsidRPr="00D95F5B" w:rsidRDefault="31449396" w:rsidP="1E2873CC">
      <w:r>
        <w:t>Ngwe Thawdar</w:t>
      </w:r>
    </w:p>
    <w:p w14:paraId="01E45DFC" w14:textId="2298D75F" w:rsidR="5FDC7CA5" w:rsidRDefault="5FDC7CA5" w:rsidP="212E346A">
      <w:pPr>
        <w:spacing w:line="259" w:lineRule="auto"/>
      </w:pPr>
      <w:r>
        <w:t>AFRL/RITGA</w:t>
      </w:r>
    </w:p>
    <w:p w14:paraId="0A5A94C7" w14:textId="0D6BC2A0" w:rsidR="5FDC7CA5" w:rsidRDefault="5FDC7CA5" w:rsidP="1E2873CC">
      <w:pPr>
        <w:spacing w:line="259" w:lineRule="auto"/>
      </w:pPr>
      <w:r>
        <w:t xml:space="preserve">525 Brooks Road, </w:t>
      </w:r>
    </w:p>
    <w:p w14:paraId="1994A5CE" w14:textId="3850004C" w:rsidR="5FDC7CA5" w:rsidRDefault="5FDC7CA5" w:rsidP="1E2873CC">
      <w:pPr>
        <w:spacing w:line="259" w:lineRule="auto"/>
      </w:pPr>
      <w:r>
        <w:t>Rome, NY 13441-4505</w:t>
      </w:r>
    </w:p>
    <w:p w14:paraId="337E8038" w14:textId="44F96137" w:rsidR="00EB4851" w:rsidRPr="00D95F5B" w:rsidRDefault="00EB4851" w:rsidP="1E2873CC">
      <w:r>
        <w:t xml:space="preserve">Telephone: (315) </w:t>
      </w:r>
      <w:r w:rsidR="58614D43">
        <w:t>330-2951</w:t>
      </w:r>
    </w:p>
    <w:p w14:paraId="1709B86B" w14:textId="7CCA43B0" w:rsidR="00EB4851" w:rsidRDefault="00EB4851" w:rsidP="00EB4851">
      <w:r>
        <w:t xml:space="preserve">Email:  </w:t>
      </w:r>
      <w:hyperlink r:id="rId28" w:history="1">
        <w:r w:rsidR="00BE629B" w:rsidRPr="00B345F3">
          <w:rPr>
            <w:rStyle w:val="Hyperlink"/>
          </w:rPr>
          <w:t>ngwe.thawdar@us.af.mil</w:t>
        </w:r>
      </w:hyperlink>
    </w:p>
    <w:p w14:paraId="3E2082A8" w14:textId="77777777" w:rsidR="00BE629B" w:rsidRDefault="00BE629B" w:rsidP="00EB4851"/>
    <w:p w14:paraId="22C91556" w14:textId="77777777" w:rsidR="00C03F04" w:rsidRDefault="00C03F04" w:rsidP="00BE629B"/>
    <w:p w14:paraId="2627FD30" w14:textId="0C64FB17" w:rsidR="00C03F04" w:rsidRPr="00D95F5B" w:rsidRDefault="00C03F04" w:rsidP="00C03F04">
      <w:r>
        <w:t>Peter Ricci</w:t>
      </w:r>
    </w:p>
    <w:p w14:paraId="6728F3D3" w14:textId="77777777" w:rsidR="00C03F04" w:rsidRDefault="00C03F04" w:rsidP="00C03F04">
      <w:pPr>
        <w:spacing w:line="259" w:lineRule="auto"/>
      </w:pPr>
      <w:r>
        <w:t>AFRL/RITGA</w:t>
      </w:r>
    </w:p>
    <w:p w14:paraId="291EDA3E" w14:textId="77777777" w:rsidR="00C03F04" w:rsidRDefault="00C03F04" w:rsidP="00C03F04">
      <w:pPr>
        <w:spacing w:line="259" w:lineRule="auto"/>
      </w:pPr>
      <w:r>
        <w:t xml:space="preserve">525 Brooks Road, </w:t>
      </w:r>
    </w:p>
    <w:p w14:paraId="1FA74847" w14:textId="77777777" w:rsidR="00C03F04" w:rsidRDefault="00C03F04" w:rsidP="00C03F04">
      <w:pPr>
        <w:spacing w:line="259" w:lineRule="auto"/>
      </w:pPr>
      <w:r>
        <w:t>Rome, NY 13441-4505</w:t>
      </w:r>
    </w:p>
    <w:p w14:paraId="6F8C97C5" w14:textId="2FDBA788" w:rsidR="00C03F04" w:rsidRPr="00D95F5B" w:rsidRDefault="00C03F04" w:rsidP="00C03F04">
      <w:r>
        <w:lastRenderedPageBreak/>
        <w:t>Telephone: (315) 330-2427</w:t>
      </w:r>
    </w:p>
    <w:p w14:paraId="7FA74172" w14:textId="19348B75" w:rsidR="00C03F04" w:rsidRPr="00D95F5B" w:rsidRDefault="00C03F04" w:rsidP="00C03F04">
      <w:r>
        <w:t>Email:  peter.ricci.1@us.af.mil</w:t>
      </w:r>
    </w:p>
    <w:p w14:paraId="40E46FDD" w14:textId="77777777" w:rsidR="00C03F04" w:rsidRPr="00D95F5B" w:rsidRDefault="00C03F04" w:rsidP="00BE629B"/>
    <w:p w14:paraId="6AF48CB4" w14:textId="77777777" w:rsidR="00EB4851" w:rsidRPr="00D95F5B" w:rsidRDefault="00EB4851" w:rsidP="00EB4851"/>
    <w:p w14:paraId="42C6B932" w14:textId="77777777" w:rsidR="00EB4851" w:rsidRPr="00D95F5B" w:rsidRDefault="00EB4851" w:rsidP="00EB4851">
      <w:r w:rsidRPr="00D95F5B">
        <w:t>Questions of a contractual/business nature shall be directed to the cognizant contracting officer, as specified below (</w:t>
      </w:r>
      <w:r w:rsidRPr="00670C4D">
        <w:rPr>
          <w:b/>
        </w:rPr>
        <w:t>email requests are preferred</w:t>
      </w:r>
      <w:r w:rsidRPr="00D95F5B">
        <w:t>):</w:t>
      </w:r>
    </w:p>
    <w:p w14:paraId="5CBB8AE7" w14:textId="77777777" w:rsidR="00EB4851" w:rsidRPr="00D95F5B" w:rsidRDefault="00EB4851" w:rsidP="00EB4851"/>
    <w:p w14:paraId="21CCB4A9" w14:textId="77777777" w:rsidR="00EB4851" w:rsidRPr="00D95F5B" w:rsidRDefault="00EB4851" w:rsidP="00EB4851">
      <w:r w:rsidRPr="00D95F5B">
        <w:t xml:space="preserve">    </w:t>
      </w:r>
      <w:r>
        <w:t>Amber Buckley</w:t>
      </w:r>
    </w:p>
    <w:p w14:paraId="453B6AB8" w14:textId="77777777" w:rsidR="00EB4851" w:rsidRPr="00D95F5B" w:rsidRDefault="00EB4851" w:rsidP="00EB4851">
      <w:r w:rsidRPr="00D95F5B">
        <w:t xml:space="preserve">    Email:  </w:t>
      </w:r>
      <w:hyperlink r:id="rId29" w:history="1">
        <w:r w:rsidRPr="00C736AA">
          <w:rPr>
            <w:rStyle w:val="Hyperlink"/>
          </w:rPr>
          <w:t>Amber.Buckley@us.af.mil</w:t>
        </w:r>
      </w:hyperlink>
    </w:p>
    <w:p w14:paraId="1379FEF2" w14:textId="77777777" w:rsidR="00EB4851" w:rsidRPr="00D95F5B" w:rsidRDefault="00EB4851" w:rsidP="00EB4851"/>
    <w:p w14:paraId="4A36452F" w14:textId="6A9724C7" w:rsidR="00EB4851" w:rsidRPr="00D95F5B" w:rsidRDefault="00EB4851" w:rsidP="00EB4851">
      <w:r>
        <w:t>Emails must reference the solicitation BAA number and title of the acquisition.</w:t>
      </w:r>
    </w:p>
    <w:p w14:paraId="1F08E98D" w14:textId="77777777" w:rsidR="00EB4851" w:rsidRPr="00D95F5B" w:rsidRDefault="00EB4851" w:rsidP="00EB4851"/>
    <w:p w14:paraId="33F49905" w14:textId="6D3D9BBC" w:rsidR="00EB4851" w:rsidRDefault="6AE93FE6" w:rsidP="00EB4851">
      <w:r>
        <w:t xml:space="preserve">In accordance with </w:t>
      </w:r>
      <w:r w:rsidR="00220364">
        <w:t>D</w:t>
      </w:r>
      <w:r>
        <w:t xml:space="preserve">AFFARS 5301.91, an Ombudsman has been appointed to hear and facilitate the </w:t>
      </w:r>
      <w:r w:rsidRPr="00A96BEE">
        <w:t xml:space="preserve">resolution of concerns from offerors, potential offerors, and others for this acquisition announcement.  Before consulting with an ombudsman, interested parties must first address their concerns, issues, disagreements, and/or recommendations to the contracting officer for resolution.  </w:t>
      </w:r>
      <w:r w:rsidR="00220364" w:rsidRPr="00A96BEE">
        <w:t>D</w:t>
      </w:r>
      <w:r w:rsidRPr="00A96BEE">
        <w:t>AFFARS Clause 5352.201-9101 Ombudsman will be incorporated into all contracts awarded under this BAA.</w:t>
      </w:r>
      <w:r>
        <w:t xml:space="preserve">  </w:t>
      </w:r>
    </w:p>
    <w:p w14:paraId="499F23A4" w14:textId="77777777" w:rsidR="00EB4851" w:rsidRDefault="00EB4851" w:rsidP="00EB4851"/>
    <w:p w14:paraId="792727B6" w14:textId="77777777" w:rsidR="00EB4851" w:rsidRPr="00670C4D" w:rsidRDefault="00EB4851" w:rsidP="00EB4851">
      <w:r w:rsidRPr="00670C4D">
        <w:t xml:space="preserve">The AFRL Ombudsman </w:t>
      </w:r>
      <w:r>
        <w:t>is as</w:t>
      </w:r>
      <w:r w:rsidRPr="00670C4D">
        <w:t xml:space="preserve"> follows:</w:t>
      </w:r>
    </w:p>
    <w:p w14:paraId="6E2B68DA" w14:textId="77777777" w:rsidR="00EB4851" w:rsidRPr="00670C4D" w:rsidRDefault="00EB4851" w:rsidP="00EB4851"/>
    <w:p w14:paraId="1262573A" w14:textId="77777777" w:rsidR="00EB4851" w:rsidRPr="000770A2" w:rsidRDefault="00EB4851" w:rsidP="00EB4851"/>
    <w:p w14:paraId="0DDB71B6" w14:textId="77777777" w:rsidR="00EF0184" w:rsidRPr="00EF0184" w:rsidRDefault="00EF0184" w:rsidP="00EF0184">
      <w:pPr>
        <w:tabs>
          <w:tab w:val="left" w:pos="2340"/>
        </w:tabs>
        <w:rPr>
          <w:rFonts w:eastAsiaTheme="minorHAnsi"/>
          <w:b/>
          <w:bCs/>
        </w:rPr>
      </w:pPr>
      <w:r w:rsidRPr="00EF0184">
        <w:rPr>
          <w:rFonts w:eastAsiaTheme="minorHAnsi"/>
          <w:b/>
          <w:bCs/>
        </w:rPr>
        <w:t>Ombudsman: AFRL/PK Technical Director </w:t>
      </w:r>
    </w:p>
    <w:p w14:paraId="36A6174E" w14:textId="77777777" w:rsidR="00EF0184" w:rsidRPr="00EF0184" w:rsidRDefault="00EF0184" w:rsidP="00EF0184">
      <w:pPr>
        <w:tabs>
          <w:tab w:val="left" w:pos="2340"/>
        </w:tabs>
        <w:rPr>
          <w:rFonts w:eastAsiaTheme="minorHAnsi"/>
          <w:b/>
          <w:bCs/>
        </w:rPr>
      </w:pPr>
      <w:r w:rsidRPr="00EF0184">
        <w:rPr>
          <w:rFonts w:eastAsiaTheme="minorHAnsi"/>
          <w:b/>
          <w:bCs/>
        </w:rPr>
        <w:t>Alternate Ombudsman: AFRL/PK Deputy Director of Contracting </w:t>
      </w:r>
    </w:p>
    <w:p w14:paraId="1CD8CA0E" w14:textId="77777777" w:rsidR="00EF0184" w:rsidRPr="00EF0184" w:rsidRDefault="00EF0184" w:rsidP="00EF0184">
      <w:pPr>
        <w:tabs>
          <w:tab w:val="left" w:pos="2340"/>
        </w:tabs>
        <w:rPr>
          <w:rFonts w:eastAsiaTheme="minorHAnsi"/>
          <w:b/>
          <w:bCs/>
        </w:rPr>
      </w:pPr>
      <w:r w:rsidRPr="00EF0184">
        <w:rPr>
          <w:rFonts w:eastAsiaTheme="minorHAnsi"/>
          <w:b/>
          <w:bCs/>
        </w:rPr>
        <w:t>1864 4th Street </w:t>
      </w:r>
    </w:p>
    <w:p w14:paraId="43CC2FD6" w14:textId="77777777" w:rsidR="00EF0184" w:rsidRPr="00EF0184" w:rsidRDefault="00EF0184" w:rsidP="00EF0184">
      <w:pPr>
        <w:tabs>
          <w:tab w:val="left" w:pos="2340"/>
        </w:tabs>
        <w:rPr>
          <w:rFonts w:eastAsiaTheme="minorHAnsi"/>
          <w:b/>
          <w:bCs/>
        </w:rPr>
      </w:pPr>
      <w:r w:rsidRPr="00EF0184">
        <w:rPr>
          <w:rFonts w:eastAsiaTheme="minorHAnsi"/>
          <w:b/>
          <w:bCs/>
        </w:rPr>
        <w:t>WPAFB OH 45433 </w:t>
      </w:r>
    </w:p>
    <w:p w14:paraId="0B53F9CA" w14:textId="77777777" w:rsidR="00EF0184" w:rsidRPr="00EF0184" w:rsidRDefault="00EF0184" w:rsidP="00EF0184">
      <w:pPr>
        <w:tabs>
          <w:tab w:val="left" w:pos="2340"/>
        </w:tabs>
        <w:rPr>
          <w:rFonts w:eastAsiaTheme="minorHAnsi"/>
          <w:b/>
          <w:bCs/>
        </w:rPr>
      </w:pPr>
      <w:r w:rsidRPr="00EF0184">
        <w:rPr>
          <w:rFonts w:eastAsiaTheme="minorHAnsi"/>
          <w:b/>
          <w:bCs/>
        </w:rPr>
        <w:t>Phone: (937) 904-9700  </w:t>
      </w:r>
    </w:p>
    <w:p w14:paraId="2FA27414" w14:textId="77777777" w:rsidR="00EF0184" w:rsidRPr="00EF0184" w:rsidRDefault="00EF0184" w:rsidP="00EF0184">
      <w:pPr>
        <w:tabs>
          <w:tab w:val="left" w:pos="2340"/>
        </w:tabs>
        <w:rPr>
          <w:rFonts w:eastAsiaTheme="minorHAnsi"/>
          <w:b/>
          <w:bCs/>
        </w:rPr>
      </w:pPr>
      <w:r w:rsidRPr="00EF0184">
        <w:rPr>
          <w:rFonts w:eastAsiaTheme="minorHAnsi"/>
          <w:b/>
          <w:bCs/>
        </w:rPr>
        <w:t>FAX: (937) 656-7321 </w:t>
      </w:r>
    </w:p>
    <w:p w14:paraId="064BF7DD" w14:textId="77777777" w:rsidR="00EF0184" w:rsidRPr="00EF0184" w:rsidRDefault="00EF0184" w:rsidP="00EF0184">
      <w:pPr>
        <w:tabs>
          <w:tab w:val="left" w:pos="2340"/>
        </w:tabs>
        <w:rPr>
          <w:rFonts w:eastAsiaTheme="minorHAnsi"/>
          <w:b/>
          <w:bCs/>
        </w:rPr>
      </w:pPr>
      <w:r w:rsidRPr="00EF0184">
        <w:rPr>
          <w:rFonts w:eastAsiaTheme="minorHAnsi"/>
          <w:b/>
          <w:bCs/>
        </w:rPr>
        <w:t xml:space="preserve">Email: </w:t>
      </w:r>
      <w:hyperlink r:id="rId30" w:tgtFrame="_blank" w:history="1">
        <w:r w:rsidRPr="00EF0184">
          <w:rPr>
            <w:rStyle w:val="Hyperlink"/>
            <w:rFonts w:eastAsiaTheme="minorHAnsi"/>
            <w:b/>
            <w:bCs/>
          </w:rPr>
          <w:t>afrl.pk.workflow@us.af.mil</w:t>
        </w:r>
      </w:hyperlink>
      <w:r w:rsidRPr="00EF0184">
        <w:rPr>
          <w:rFonts w:eastAsiaTheme="minorHAnsi"/>
          <w:b/>
          <w:bCs/>
        </w:rPr>
        <w:t> </w:t>
      </w:r>
    </w:p>
    <w:p w14:paraId="02AEE3D8" w14:textId="77777777" w:rsidR="00EB4851" w:rsidRPr="00D95F5B" w:rsidRDefault="00EB4851" w:rsidP="00EB4851">
      <w:pPr>
        <w:tabs>
          <w:tab w:val="left" w:pos="2340"/>
        </w:tabs>
      </w:pPr>
    </w:p>
    <w:p w14:paraId="0A679084" w14:textId="77777777" w:rsidR="00EB4851" w:rsidRDefault="00EB4851" w:rsidP="00EB4851"/>
    <w:p w14:paraId="5C37805C" w14:textId="77777777" w:rsidR="009450C8" w:rsidRPr="00D95F5B" w:rsidRDefault="009450C8" w:rsidP="00A76C12">
      <w:pPr>
        <w:tabs>
          <w:tab w:val="left" w:pos="2340"/>
        </w:tabs>
      </w:pPr>
    </w:p>
    <w:sectPr w:rsidR="009450C8" w:rsidRPr="00D95F5B" w:rsidSect="003B1364">
      <w:footerReference w:type="default" r:id="rId31"/>
      <w:pgSz w:w="12240" w:h="15840"/>
      <w:pgMar w:top="630" w:right="1080" w:bottom="81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A2858" w14:textId="77777777" w:rsidR="005E3383" w:rsidRDefault="005E3383" w:rsidP="006F7349">
      <w:r>
        <w:separator/>
      </w:r>
    </w:p>
  </w:endnote>
  <w:endnote w:type="continuationSeparator" w:id="0">
    <w:p w14:paraId="3A83B27C" w14:textId="77777777" w:rsidR="005E3383" w:rsidRDefault="005E3383" w:rsidP="006F7349">
      <w:r>
        <w:continuationSeparator/>
      </w:r>
    </w:p>
  </w:endnote>
  <w:endnote w:type="continuationNotice" w:id="1">
    <w:p w14:paraId="1A7965BC" w14:textId="77777777" w:rsidR="005E3383" w:rsidRDefault="005E33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A7849" w14:textId="1B12D55B" w:rsidR="00207860" w:rsidRDefault="00207860">
    <w:pPr>
      <w:pStyle w:val="Footer"/>
      <w:jc w:val="center"/>
    </w:pPr>
    <w:r>
      <w:t xml:space="preserve">Page </w:t>
    </w:r>
    <w:r>
      <w:rPr>
        <w:b/>
        <w:bCs/>
        <w:color w:val="2B579A"/>
        <w:shd w:val="clear" w:color="auto" w:fill="E6E6E6"/>
      </w:rPr>
      <w:fldChar w:fldCharType="begin"/>
    </w:r>
    <w:r>
      <w:rPr>
        <w:b/>
        <w:bCs/>
      </w:rPr>
      <w:instrText xml:space="preserve"> PAGE </w:instrText>
    </w:r>
    <w:r>
      <w:rPr>
        <w:b/>
        <w:bCs/>
        <w:color w:val="2B579A"/>
        <w:shd w:val="clear" w:color="auto" w:fill="E6E6E6"/>
      </w:rPr>
      <w:fldChar w:fldCharType="separate"/>
    </w:r>
    <w:r w:rsidR="00C84372">
      <w:rPr>
        <w:b/>
        <w:bCs/>
        <w:noProof/>
      </w:rPr>
      <w:t>2</w:t>
    </w:r>
    <w:r>
      <w:rPr>
        <w:b/>
        <w:bCs/>
        <w:color w:val="2B579A"/>
        <w:shd w:val="clear" w:color="auto" w:fill="E6E6E6"/>
      </w:rPr>
      <w:fldChar w:fldCharType="end"/>
    </w:r>
    <w:r>
      <w:t xml:space="preserve"> of </w:t>
    </w:r>
    <w:r>
      <w:rPr>
        <w:b/>
        <w:bCs/>
        <w:color w:val="2B579A"/>
        <w:shd w:val="clear" w:color="auto" w:fill="E6E6E6"/>
      </w:rPr>
      <w:fldChar w:fldCharType="begin"/>
    </w:r>
    <w:r>
      <w:rPr>
        <w:b/>
        <w:bCs/>
      </w:rPr>
      <w:instrText xml:space="preserve"> NUMPAGES  </w:instrText>
    </w:r>
    <w:r>
      <w:rPr>
        <w:b/>
        <w:bCs/>
        <w:color w:val="2B579A"/>
        <w:shd w:val="clear" w:color="auto" w:fill="E6E6E6"/>
      </w:rPr>
      <w:fldChar w:fldCharType="separate"/>
    </w:r>
    <w:r w:rsidR="00C84372">
      <w:rPr>
        <w:b/>
        <w:bCs/>
        <w:noProof/>
      </w:rPr>
      <w:t>19</w:t>
    </w:r>
    <w:r>
      <w:rPr>
        <w:b/>
        <w:bCs/>
        <w:color w:val="2B579A"/>
        <w:shd w:val="clear" w:color="auto" w:fill="E6E6E6"/>
      </w:rPr>
      <w:fldChar w:fldCharType="end"/>
    </w:r>
  </w:p>
  <w:p w14:paraId="5515474F" w14:textId="77777777" w:rsidR="00207860" w:rsidRDefault="002078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EAEA3" w14:textId="77777777" w:rsidR="005E3383" w:rsidRDefault="005E3383" w:rsidP="006F7349">
      <w:r>
        <w:separator/>
      </w:r>
    </w:p>
  </w:footnote>
  <w:footnote w:type="continuationSeparator" w:id="0">
    <w:p w14:paraId="218F5500" w14:textId="77777777" w:rsidR="005E3383" w:rsidRDefault="005E3383" w:rsidP="006F7349">
      <w:r>
        <w:continuationSeparator/>
      </w:r>
    </w:p>
  </w:footnote>
  <w:footnote w:type="continuationNotice" w:id="1">
    <w:p w14:paraId="6B7E511D" w14:textId="77777777" w:rsidR="005E3383" w:rsidRDefault="005E338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24DF"/>
    <w:multiLevelType w:val="hybridMultilevel"/>
    <w:tmpl w:val="743CC4FE"/>
    <w:lvl w:ilvl="0" w:tplc="0409001B">
      <w:start w:val="1"/>
      <w:numFmt w:val="lowerRoman"/>
      <w:lvlText w:val="%1."/>
      <w:lvlJc w:val="right"/>
      <w:pPr>
        <w:ind w:left="1440" w:hanging="360"/>
      </w:p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6581B80"/>
    <w:multiLevelType w:val="hybridMultilevel"/>
    <w:tmpl w:val="5CE2C1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6DD0F14"/>
    <w:multiLevelType w:val="multilevel"/>
    <w:tmpl w:val="65A02FD2"/>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B5F79D7"/>
    <w:multiLevelType w:val="multilevel"/>
    <w:tmpl w:val="FA588F70"/>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0CB750C"/>
    <w:multiLevelType w:val="hybridMultilevel"/>
    <w:tmpl w:val="05980E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D726BC"/>
    <w:multiLevelType w:val="hybridMultilevel"/>
    <w:tmpl w:val="B1802E3E"/>
    <w:lvl w:ilvl="0" w:tplc="3DA4388C">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6" w15:restartNumberingAfterBreak="0">
    <w:nsid w:val="1B107500"/>
    <w:multiLevelType w:val="hybridMultilevel"/>
    <w:tmpl w:val="866ECBEC"/>
    <w:lvl w:ilvl="0" w:tplc="1A28C894">
      <w:start w:val="8"/>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 w15:restartNumberingAfterBreak="0">
    <w:nsid w:val="1F4376AE"/>
    <w:multiLevelType w:val="hybridMultilevel"/>
    <w:tmpl w:val="E644650E"/>
    <w:lvl w:ilvl="0" w:tplc="0409001B">
      <w:start w:val="1"/>
      <w:numFmt w:val="lowerRoman"/>
      <w:lvlText w:val="%1."/>
      <w:lvlJc w:val="right"/>
      <w:pPr>
        <w:ind w:left="720" w:hanging="360"/>
      </w:pPr>
    </w:lvl>
    <w:lvl w:ilvl="1" w:tplc="0409000F">
      <w:start w:val="1"/>
      <w:numFmt w:val="decimal"/>
      <w:lvlText w:val="%2."/>
      <w:lvlJc w:val="left"/>
      <w:pPr>
        <w:ind w:left="1440" w:hanging="360"/>
      </w:pPr>
    </w:lvl>
    <w:lvl w:ilvl="2" w:tplc="31CA66E8">
      <w:start w:val="1"/>
      <w:numFmt w:val="lowerLetter"/>
      <w:lvlText w:val="%3."/>
      <w:lvlJc w:val="left"/>
      <w:pPr>
        <w:ind w:left="234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7E4B0D"/>
    <w:multiLevelType w:val="hybridMultilevel"/>
    <w:tmpl w:val="8700AC2C"/>
    <w:lvl w:ilvl="0" w:tplc="0409000F">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0AB6C14"/>
    <w:multiLevelType w:val="hybridMultilevel"/>
    <w:tmpl w:val="11A66870"/>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1BB2D38"/>
    <w:multiLevelType w:val="hybridMultilevel"/>
    <w:tmpl w:val="E960B76C"/>
    <w:lvl w:ilvl="0" w:tplc="F9583BD8">
      <w:start w:val="3"/>
      <w:numFmt w:val="decimal"/>
      <w:lvlText w:val="%1."/>
      <w:lvlJc w:val="left"/>
      <w:pPr>
        <w:ind w:left="6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7758C5"/>
    <w:multiLevelType w:val="multilevel"/>
    <w:tmpl w:val="8C226BC4"/>
    <w:lvl w:ilvl="0">
      <w:start w:val="1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245210E4"/>
    <w:multiLevelType w:val="hybridMultilevel"/>
    <w:tmpl w:val="7258F258"/>
    <w:lvl w:ilvl="0" w:tplc="0409000F">
      <w:start w:val="1"/>
      <w:numFmt w:val="decimal"/>
      <w:lvlText w:val="%1."/>
      <w:lvlJc w:val="left"/>
      <w:pPr>
        <w:ind w:left="1320" w:hanging="360"/>
      </w:p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3" w15:restartNumberingAfterBreak="0">
    <w:nsid w:val="245E763D"/>
    <w:multiLevelType w:val="hybridMultilevel"/>
    <w:tmpl w:val="9D0078A4"/>
    <w:lvl w:ilvl="0" w:tplc="0409001B">
      <w:start w:val="1"/>
      <w:numFmt w:val="lowerRoman"/>
      <w:lvlText w:val="%1."/>
      <w:lvlJc w:val="right"/>
      <w:pPr>
        <w:ind w:left="2040" w:hanging="360"/>
      </w:pPr>
    </w:lvl>
    <w:lvl w:ilvl="1" w:tplc="04090019" w:tentative="1">
      <w:start w:val="1"/>
      <w:numFmt w:val="lowerLetter"/>
      <w:lvlText w:val="%2."/>
      <w:lvlJc w:val="left"/>
      <w:pPr>
        <w:ind w:left="2760" w:hanging="360"/>
      </w:pPr>
    </w:lvl>
    <w:lvl w:ilvl="2" w:tplc="0409001B" w:tentative="1">
      <w:start w:val="1"/>
      <w:numFmt w:val="lowerRoman"/>
      <w:lvlText w:val="%3."/>
      <w:lvlJc w:val="right"/>
      <w:pPr>
        <w:ind w:left="3480" w:hanging="180"/>
      </w:pPr>
    </w:lvl>
    <w:lvl w:ilvl="3" w:tplc="0409000F" w:tentative="1">
      <w:start w:val="1"/>
      <w:numFmt w:val="decimal"/>
      <w:lvlText w:val="%4."/>
      <w:lvlJc w:val="left"/>
      <w:pPr>
        <w:ind w:left="4200" w:hanging="360"/>
      </w:pPr>
    </w:lvl>
    <w:lvl w:ilvl="4" w:tplc="04090019" w:tentative="1">
      <w:start w:val="1"/>
      <w:numFmt w:val="lowerLetter"/>
      <w:lvlText w:val="%5."/>
      <w:lvlJc w:val="left"/>
      <w:pPr>
        <w:ind w:left="4920" w:hanging="360"/>
      </w:pPr>
    </w:lvl>
    <w:lvl w:ilvl="5" w:tplc="0409001B" w:tentative="1">
      <w:start w:val="1"/>
      <w:numFmt w:val="lowerRoman"/>
      <w:lvlText w:val="%6."/>
      <w:lvlJc w:val="right"/>
      <w:pPr>
        <w:ind w:left="5640" w:hanging="180"/>
      </w:pPr>
    </w:lvl>
    <w:lvl w:ilvl="6" w:tplc="0409000F" w:tentative="1">
      <w:start w:val="1"/>
      <w:numFmt w:val="decimal"/>
      <w:lvlText w:val="%7."/>
      <w:lvlJc w:val="left"/>
      <w:pPr>
        <w:ind w:left="6360" w:hanging="360"/>
      </w:pPr>
    </w:lvl>
    <w:lvl w:ilvl="7" w:tplc="04090019" w:tentative="1">
      <w:start w:val="1"/>
      <w:numFmt w:val="lowerLetter"/>
      <w:lvlText w:val="%8."/>
      <w:lvlJc w:val="left"/>
      <w:pPr>
        <w:ind w:left="7080" w:hanging="360"/>
      </w:pPr>
    </w:lvl>
    <w:lvl w:ilvl="8" w:tplc="0409001B" w:tentative="1">
      <w:start w:val="1"/>
      <w:numFmt w:val="lowerRoman"/>
      <w:lvlText w:val="%9."/>
      <w:lvlJc w:val="right"/>
      <w:pPr>
        <w:ind w:left="7800" w:hanging="180"/>
      </w:pPr>
    </w:lvl>
  </w:abstractNum>
  <w:abstractNum w:abstractNumId="14" w15:restartNumberingAfterBreak="0">
    <w:nsid w:val="2BED5A9C"/>
    <w:multiLevelType w:val="hybridMultilevel"/>
    <w:tmpl w:val="0F9E6034"/>
    <w:lvl w:ilvl="0" w:tplc="93F6EC0A">
      <w:start w:val="1"/>
      <w:numFmt w:val="lowerLetter"/>
      <w:lvlText w:val="%1."/>
      <w:lvlJc w:val="left"/>
      <w:pPr>
        <w:ind w:left="600" w:hanging="360"/>
      </w:pPr>
      <w:rPr>
        <w:rFonts w:hint="default"/>
      </w:rPr>
    </w:lvl>
    <w:lvl w:ilvl="1" w:tplc="0409000F">
      <w:start w:val="1"/>
      <w:numFmt w:val="decimal"/>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5" w15:restartNumberingAfterBreak="0">
    <w:nsid w:val="2D1A6CFD"/>
    <w:multiLevelType w:val="multilevel"/>
    <w:tmpl w:val="C484A6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2E7450E5"/>
    <w:multiLevelType w:val="multilevel"/>
    <w:tmpl w:val="5ACE2B42"/>
    <w:lvl w:ilvl="0">
      <w:start w:val="1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2F6B47DB"/>
    <w:multiLevelType w:val="multilevel"/>
    <w:tmpl w:val="D012CE8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30C232B6"/>
    <w:multiLevelType w:val="hybridMultilevel"/>
    <w:tmpl w:val="9A1A8022"/>
    <w:lvl w:ilvl="0" w:tplc="04090019">
      <w:start w:val="1"/>
      <w:numFmt w:val="lowerLetter"/>
      <w:lvlText w:val="%1."/>
      <w:lvlJc w:val="left"/>
      <w:pPr>
        <w:ind w:left="720" w:hanging="360"/>
      </w:pPr>
      <w:rPr>
        <w:rFonts w:hint="default"/>
        <w:b w:val="0"/>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CE2B48"/>
    <w:multiLevelType w:val="multilevel"/>
    <w:tmpl w:val="5716444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419F2500"/>
    <w:multiLevelType w:val="multilevel"/>
    <w:tmpl w:val="4B6613C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25D1F0B"/>
    <w:multiLevelType w:val="multilevel"/>
    <w:tmpl w:val="435A3614"/>
    <w:lvl w:ilvl="0">
      <w:start w:val="1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49A7AAC"/>
    <w:multiLevelType w:val="multilevel"/>
    <w:tmpl w:val="D610CBB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45A80C41"/>
    <w:multiLevelType w:val="hybridMultilevel"/>
    <w:tmpl w:val="715C776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9445EB"/>
    <w:multiLevelType w:val="hybridMultilevel"/>
    <w:tmpl w:val="9BAA3E30"/>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8D712D1"/>
    <w:multiLevelType w:val="hybridMultilevel"/>
    <w:tmpl w:val="CE7CFE34"/>
    <w:lvl w:ilvl="0" w:tplc="118C7D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491E3D2B"/>
    <w:multiLevelType w:val="hybridMultilevel"/>
    <w:tmpl w:val="CE88F070"/>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AE151E5"/>
    <w:multiLevelType w:val="multilevel"/>
    <w:tmpl w:val="2BEA1EE2"/>
    <w:lvl w:ilvl="0">
      <w:start w:val="1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4DE21041"/>
    <w:multiLevelType w:val="hybridMultilevel"/>
    <w:tmpl w:val="6C020AF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E640547"/>
    <w:multiLevelType w:val="hybridMultilevel"/>
    <w:tmpl w:val="2E640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A066D4"/>
    <w:multiLevelType w:val="hybridMultilevel"/>
    <w:tmpl w:val="09F0906A"/>
    <w:lvl w:ilvl="0" w:tplc="27600A8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0A64C1"/>
    <w:multiLevelType w:val="hybridMultilevel"/>
    <w:tmpl w:val="09D6D64A"/>
    <w:lvl w:ilvl="0" w:tplc="696A87CC">
      <w:start w:val="1"/>
      <w:numFmt w:val="lowerLetter"/>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2" w15:restartNumberingAfterBreak="0">
    <w:nsid w:val="524A2472"/>
    <w:multiLevelType w:val="hybridMultilevel"/>
    <w:tmpl w:val="D86E78D8"/>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545D3E36"/>
    <w:multiLevelType w:val="hybridMultilevel"/>
    <w:tmpl w:val="03CE6DB2"/>
    <w:lvl w:ilvl="0" w:tplc="27600A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4D779BA"/>
    <w:multiLevelType w:val="multilevel"/>
    <w:tmpl w:val="6066A41C"/>
    <w:lvl w:ilvl="0">
      <w:start w:val="1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56CE5D2C"/>
    <w:multiLevelType w:val="hybridMultilevel"/>
    <w:tmpl w:val="448886FE"/>
    <w:lvl w:ilvl="0" w:tplc="04090017">
      <w:start w:val="1"/>
      <w:numFmt w:val="lowerLetter"/>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36" w15:restartNumberingAfterBreak="0">
    <w:nsid w:val="59305240"/>
    <w:multiLevelType w:val="multilevel"/>
    <w:tmpl w:val="3674792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5A9A189A"/>
    <w:multiLevelType w:val="hybridMultilevel"/>
    <w:tmpl w:val="5AC22EC2"/>
    <w:lvl w:ilvl="0" w:tplc="93F6EC0A">
      <w:start w:val="1"/>
      <w:numFmt w:val="lowerLetter"/>
      <w:lvlText w:val="%1."/>
      <w:lvlJc w:val="left"/>
      <w:pPr>
        <w:ind w:left="600" w:hanging="360"/>
      </w:pPr>
      <w:rPr>
        <w:rFonts w:hint="default"/>
      </w:rPr>
    </w:lvl>
    <w:lvl w:ilvl="1" w:tplc="0409000F">
      <w:start w:val="1"/>
      <w:numFmt w:val="decimal"/>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38" w15:restartNumberingAfterBreak="0">
    <w:nsid w:val="5C3A5BEF"/>
    <w:multiLevelType w:val="multilevel"/>
    <w:tmpl w:val="671AADE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5D751114"/>
    <w:multiLevelType w:val="multilevel"/>
    <w:tmpl w:val="CDA000A6"/>
    <w:lvl w:ilvl="0">
      <w:start w:val="1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5DF53DF2"/>
    <w:multiLevelType w:val="hybridMultilevel"/>
    <w:tmpl w:val="63788068"/>
    <w:lvl w:ilvl="0" w:tplc="0409000F">
      <w:start w:val="1"/>
      <w:numFmt w:val="decimal"/>
      <w:lvlText w:val="%1."/>
      <w:lvlJc w:val="left"/>
      <w:pPr>
        <w:ind w:left="1680" w:hanging="360"/>
      </w:p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41" w15:restartNumberingAfterBreak="0">
    <w:nsid w:val="5FF918D8"/>
    <w:multiLevelType w:val="hybridMultilevel"/>
    <w:tmpl w:val="990010EE"/>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1357C24"/>
    <w:multiLevelType w:val="hybridMultilevel"/>
    <w:tmpl w:val="A1F4768C"/>
    <w:lvl w:ilvl="0" w:tplc="04090011">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6323033A"/>
    <w:multiLevelType w:val="hybridMultilevel"/>
    <w:tmpl w:val="056C38F4"/>
    <w:lvl w:ilvl="0" w:tplc="31CA66E8">
      <w:start w:val="1"/>
      <w:numFmt w:val="lowerLetter"/>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4457402"/>
    <w:multiLevelType w:val="multilevel"/>
    <w:tmpl w:val="7D4C38E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69727E5A"/>
    <w:multiLevelType w:val="multilevel"/>
    <w:tmpl w:val="2E980BF8"/>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6B405021"/>
    <w:multiLevelType w:val="multilevel"/>
    <w:tmpl w:val="9782CDB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6E464CC9"/>
    <w:multiLevelType w:val="multilevel"/>
    <w:tmpl w:val="EE7E009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15:restartNumberingAfterBreak="0">
    <w:nsid w:val="6F7D658F"/>
    <w:multiLevelType w:val="multilevel"/>
    <w:tmpl w:val="B4464F7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 w15:restartNumberingAfterBreak="0">
    <w:nsid w:val="70663B78"/>
    <w:multiLevelType w:val="hybridMultilevel"/>
    <w:tmpl w:val="82B61BE2"/>
    <w:lvl w:ilvl="0" w:tplc="2ECEF59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708C0619"/>
    <w:multiLevelType w:val="hybridMultilevel"/>
    <w:tmpl w:val="7ADA7FB4"/>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1" w15:restartNumberingAfterBreak="0">
    <w:nsid w:val="71E53D95"/>
    <w:multiLevelType w:val="multilevel"/>
    <w:tmpl w:val="932CA662"/>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15:restartNumberingAfterBreak="0">
    <w:nsid w:val="78563EE4"/>
    <w:multiLevelType w:val="multilevel"/>
    <w:tmpl w:val="EDF2E20C"/>
    <w:lvl w:ilvl="0">
      <w:start w:val="1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 w15:restartNumberingAfterBreak="0">
    <w:nsid w:val="79865A24"/>
    <w:multiLevelType w:val="multilevel"/>
    <w:tmpl w:val="BC6025F2"/>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 w15:restartNumberingAfterBreak="0">
    <w:nsid w:val="7AEF78CE"/>
    <w:multiLevelType w:val="hybridMultilevel"/>
    <w:tmpl w:val="9BB64332"/>
    <w:lvl w:ilvl="0" w:tplc="FFFFFFFF">
      <w:start w:val="1"/>
      <w:numFmt w:val="lowerLetter"/>
      <w:lvlText w:val="%1)"/>
      <w:lvlJc w:val="left"/>
      <w:pPr>
        <w:ind w:left="720" w:hanging="360"/>
      </w:pPr>
    </w:lvl>
    <w:lvl w:ilvl="1" w:tplc="0409000F">
      <w:start w:val="1"/>
      <w:numFmt w:val="decimal"/>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37398421">
    <w:abstractNumId w:val="8"/>
  </w:num>
  <w:num w:numId="2" w16cid:durableId="464352773">
    <w:abstractNumId w:val="33"/>
  </w:num>
  <w:num w:numId="3" w16cid:durableId="1577982749">
    <w:abstractNumId w:val="50"/>
  </w:num>
  <w:num w:numId="4" w16cid:durableId="1192765656">
    <w:abstractNumId w:val="14"/>
  </w:num>
  <w:num w:numId="5" w16cid:durableId="708458522">
    <w:abstractNumId w:val="10"/>
  </w:num>
  <w:num w:numId="6" w16cid:durableId="1164904421">
    <w:abstractNumId w:val="30"/>
  </w:num>
  <w:num w:numId="7" w16cid:durableId="1177184622">
    <w:abstractNumId w:val="31"/>
  </w:num>
  <w:num w:numId="8" w16cid:durableId="758142590">
    <w:abstractNumId w:val="18"/>
  </w:num>
  <w:num w:numId="9" w16cid:durableId="879898858">
    <w:abstractNumId w:val="40"/>
  </w:num>
  <w:num w:numId="10" w16cid:durableId="1520775618">
    <w:abstractNumId w:val="49"/>
  </w:num>
  <w:num w:numId="11" w16cid:durableId="230383213">
    <w:abstractNumId w:val="25"/>
  </w:num>
  <w:num w:numId="12" w16cid:durableId="1018509124">
    <w:abstractNumId w:val="42"/>
  </w:num>
  <w:num w:numId="13" w16cid:durableId="2062170082">
    <w:abstractNumId w:val="14"/>
  </w:num>
  <w:num w:numId="14" w16cid:durableId="13946949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98603635">
    <w:abstractNumId w:val="32"/>
  </w:num>
  <w:num w:numId="16" w16cid:durableId="15034076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82441771">
    <w:abstractNumId w:val="24"/>
  </w:num>
  <w:num w:numId="18" w16cid:durableId="748573782">
    <w:abstractNumId w:val="35"/>
  </w:num>
  <w:num w:numId="19" w16cid:durableId="582228500">
    <w:abstractNumId w:val="37"/>
  </w:num>
  <w:num w:numId="20" w16cid:durableId="1976522185">
    <w:abstractNumId w:val="41"/>
  </w:num>
  <w:num w:numId="21" w16cid:durableId="1577671616">
    <w:abstractNumId w:val="12"/>
  </w:num>
  <w:num w:numId="22" w16cid:durableId="1603804848">
    <w:abstractNumId w:val="5"/>
  </w:num>
  <w:num w:numId="23" w16cid:durableId="1535267960">
    <w:abstractNumId w:val="28"/>
  </w:num>
  <w:num w:numId="24" w16cid:durableId="395206817">
    <w:abstractNumId w:val="26"/>
  </w:num>
  <w:num w:numId="25" w16cid:durableId="1637494532">
    <w:abstractNumId w:val="7"/>
  </w:num>
  <w:num w:numId="26" w16cid:durableId="243951644">
    <w:abstractNumId w:val="43"/>
  </w:num>
  <w:num w:numId="27" w16cid:durableId="1664235319">
    <w:abstractNumId w:val="6"/>
  </w:num>
  <w:num w:numId="28" w16cid:durableId="10176585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85325697">
    <w:abstractNumId w:val="9"/>
  </w:num>
  <w:num w:numId="30" w16cid:durableId="1835679752">
    <w:abstractNumId w:val="0"/>
  </w:num>
  <w:num w:numId="31" w16cid:durableId="206842563">
    <w:abstractNumId w:val="13"/>
  </w:num>
  <w:num w:numId="32" w16cid:durableId="148354829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20051096">
    <w:abstractNumId w:val="29"/>
  </w:num>
  <w:num w:numId="34" w16cid:durableId="706834860">
    <w:abstractNumId w:val="23"/>
  </w:num>
  <w:num w:numId="35" w16cid:durableId="911499557">
    <w:abstractNumId w:val="54"/>
  </w:num>
  <w:num w:numId="36" w16cid:durableId="69469487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03865470">
    <w:abstractNumId w:val="4"/>
  </w:num>
  <w:num w:numId="38" w16cid:durableId="54744617">
    <w:abstractNumId w:val="20"/>
  </w:num>
  <w:num w:numId="39" w16cid:durableId="795607954">
    <w:abstractNumId w:val="46"/>
  </w:num>
  <w:num w:numId="40" w16cid:durableId="744842821">
    <w:abstractNumId w:val="36"/>
  </w:num>
  <w:num w:numId="41" w16cid:durableId="1258758630">
    <w:abstractNumId w:val="47"/>
  </w:num>
  <w:num w:numId="42" w16cid:durableId="2111580722">
    <w:abstractNumId w:val="17"/>
  </w:num>
  <w:num w:numId="43" w16cid:durableId="510920207">
    <w:abstractNumId w:val="15"/>
  </w:num>
  <w:num w:numId="44" w16cid:durableId="1116560574">
    <w:abstractNumId w:val="48"/>
  </w:num>
  <w:num w:numId="45" w16cid:durableId="976110604">
    <w:abstractNumId w:val="38"/>
  </w:num>
  <w:num w:numId="46" w16cid:durableId="1073356727">
    <w:abstractNumId w:val="44"/>
  </w:num>
  <w:num w:numId="47" w16cid:durableId="875003293">
    <w:abstractNumId w:val="22"/>
  </w:num>
  <w:num w:numId="48" w16cid:durableId="1509783401">
    <w:abstractNumId w:val="19"/>
  </w:num>
  <w:num w:numId="49" w16cid:durableId="403259827">
    <w:abstractNumId w:val="53"/>
  </w:num>
  <w:num w:numId="50" w16cid:durableId="1300455853">
    <w:abstractNumId w:val="45"/>
  </w:num>
  <w:num w:numId="51" w16cid:durableId="1954167443">
    <w:abstractNumId w:val="2"/>
  </w:num>
  <w:num w:numId="52" w16cid:durableId="1190071479">
    <w:abstractNumId w:val="51"/>
  </w:num>
  <w:num w:numId="53" w16cid:durableId="485249612">
    <w:abstractNumId w:val="3"/>
  </w:num>
  <w:num w:numId="54" w16cid:durableId="981807489">
    <w:abstractNumId w:val="52"/>
  </w:num>
  <w:num w:numId="55" w16cid:durableId="1684471847">
    <w:abstractNumId w:val="16"/>
  </w:num>
  <w:num w:numId="56" w16cid:durableId="637033268">
    <w:abstractNumId w:val="27"/>
  </w:num>
  <w:num w:numId="57" w16cid:durableId="472063455">
    <w:abstractNumId w:val="34"/>
  </w:num>
  <w:num w:numId="58" w16cid:durableId="555431590">
    <w:abstractNumId w:val="39"/>
  </w:num>
  <w:num w:numId="59" w16cid:durableId="1498812969">
    <w:abstractNumId w:val="11"/>
  </w:num>
  <w:num w:numId="60" w16cid:durableId="2138062354">
    <w:abstractNumId w:val="21"/>
  </w:num>
  <w:num w:numId="61" w16cid:durableId="20031908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0E20"/>
    <w:rsid w:val="00003293"/>
    <w:rsid w:val="00006597"/>
    <w:rsid w:val="00013094"/>
    <w:rsid w:val="00014560"/>
    <w:rsid w:val="00015193"/>
    <w:rsid w:val="00020C51"/>
    <w:rsid w:val="00020FF0"/>
    <w:rsid w:val="00033055"/>
    <w:rsid w:val="00041B9D"/>
    <w:rsid w:val="00045459"/>
    <w:rsid w:val="0004735B"/>
    <w:rsid w:val="000524F1"/>
    <w:rsid w:val="00052580"/>
    <w:rsid w:val="0006256F"/>
    <w:rsid w:val="00071F73"/>
    <w:rsid w:val="0007315C"/>
    <w:rsid w:val="00076377"/>
    <w:rsid w:val="000770A2"/>
    <w:rsid w:val="0008558D"/>
    <w:rsid w:val="00085BFC"/>
    <w:rsid w:val="00087E5B"/>
    <w:rsid w:val="000917B8"/>
    <w:rsid w:val="00093506"/>
    <w:rsid w:val="000A349E"/>
    <w:rsid w:val="000B3EA1"/>
    <w:rsid w:val="000B7B5D"/>
    <w:rsid w:val="000D1699"/>
    <w:rsid w:val="000D1A8A"/>
    <w:rsid w:val="000D22CF"/>
    <w:rsid w:val="000D40C9"/>
    <w:rsid w:val="000D567A"/>
    <w:rsid w:val="000F0002"/>
    <w:rsid w:val="001006EB"/>
    <w:rsid w:val="00101EB7"/>
    <w:rsid w:val="001075B1"/>
    <w:rsid w:val="00115593"/>
    <w:rsid w:val="00116C40"/>
    <w:rsid w:val="00120185"/>
    <w:rsid w:val="00123A8C"/>
    <w:rsid w:val="00126946"/>
    <w:rsid w:val="001269F3"/>
    <w:rsid w:val="00126A9C"/>
    <w:rsid w:val="001341FD"/>
    <w:rsid w:val="001404F8"/>
    <w:rsid w:val="00152300"/>
    <w:rsid w:val="001576D7"/>
    <w:rsid w:val="001620A5"/>
    <w:rsid w:val="00172DAF"/>
    <w:rsid w:val="00182331"/>
    <w:rsid w:val="00187058"/>
    <w:rsid w:val="001963BA"/>
    <w:rsid w:val="001A0F8F"/>
    <w:rsid w:val="001A1E1F"/>
    <w:rsid w:val="001A1E29"/>
    <w:rsid w:val="001B2434"/>
    <w:rsid w:val="001D1863"/>
    <w:rsid w:val="001D2090"/>
    <w:rsid w:val="001D461C"/>
    <w:rsid w:val="001D6867"/>
    <w:rsid w:val="001E26B5"/>
    <w:rsid w:val="001E4498"/>
    <w:rsid w:val="001E5941"/>
    <w:rsid w:val="001F469D"/>
    <w:rsid w:val="00203C28"/>
    <w:rsid w:val="00204CA2"/>
    <w:rsid w:val="002053DF"/>
    <w:rsid w:val="002056B5"/>
    <w:rsid w:val="002061FE"/>
    <w:rsid w:val="00207860"/>
    <w:rsid w:val="00212ED4"/>
    <w:rsid w:val="00212F20"/>
    <w:rsid w:val="00213EBD"/>
    <w:rsid w:val="002177D1"/>
    <w:rsid w:val="00220364"/>
    <w:rsid w:val="002256CF"/>
    <w:rsid w:val="002334E3"/>
    <w:rsid w:val="002348E8"/>
    <w:rsid w:val="00237EE2"/>
    <w:rsid w:val="00253699"/>
    <w:rsid w:val="00262226"/>
    <w:rsid w:val="002634D6"/>
    <w:rsid w:val="002650E7"/>
    <w:rsid w:val="00267FF5"/>
    <w:rsid w:val="0027148B"/>
    <w:rsid w:val="002731BE"/>
    <w:rsid w:val="002736D3"/>
    <w:rsid w:val="00275376"/>
    <w:rsid w:val="00275FF6"/>
    <w:rsid w:val="00280993"/>
    <w:rsid w:val="00280B08"/>
    <w:rsid w:val="00282D86"/>
    <w:rsid w:val="00284F5D"/>
    <w:rsid w:val="00286CB9"/>
    <w:rsid w:val="002901D8"/>
    <w:rsid w:val="00290E20"/>
    <w:rsid w:val="00293C05"/>
    <w:rsid w:val="002A3D50"/>
    <w:rsid w:val="002A647C"/>
    <w:rsid w:val="002B1815"/>
    <w:rsid w:val="002B2F2A"/>
    <w:rsid w:val="002B7C6D"/>
    <w:rsid w:val="002C0C2C"/>
    <w:rsid w:val="002C304C"/>
    <w:rsid w:val="002C7A6B"/>
    <w:rsid w:val="002D2A53"/>
    <w:rsid w:val="002D49F3"/>
    <w:rsid w:val="002D507F"/>
    <w:rsid w:val="002E0D26"/>
    <w:rsid w:val="002E379E"/>
    <w:rsid w:val="002E46E8"/>
    <w:rsid w:val="002E5FA5"/>
    <w:rsid w:val="002F0AF3"/>
    <w:rsid w:val="002F4B3D"/>
    <w:rsid w:val="002F67C9"/>
    <w:rsid w:val="0030084C"/>
    <w:rsid w:val="00304C90"/>
    <w:rsid w:val="0030659C"/>
    <w:rsid w:val="003232D0"/>
    <w:rsid w:val="0032382B"/>
    <w:rsid w:val="00325874"/>
    <w:rsid w:val="0033955B"/>
    <w:rsid w:val="003432A1"/>
    <w:rsid w:val="00343651"/>
    <w:rsid w:val="00350EE2"/>
    <w:rsid w:val="00352C33"/>
    <w:rsid w:val="003577CC"/>
    <w:rsid w:val="00364D1C"/>
    <w:rsid w:val="00370E51"/>
    <w:rsid w:val="0037239B"/>
    <w:rsid w:val="00381C5F"/>
    <w:rsid w:val="00384001"/>
    <w:rsid w:val="00384521"/>
    <w:rsid w:val="00384C7B"/>
    <w:rsid w:val="00386DB2"/>
    <w:rsid w:val="00391B7F"/>
    <w:rsid w:val="003A6462"/>
    <w:rsid w:val="003B1364"/>
    <w:rsid w:val="003B4069"/>
    <w:rsid w:val="003B7750"/>
    <w:rsid w:val="003C40AE"/>
    <w:rsid w:val="003D3EBC"/>
    <w:rsid w:val="003E24C9"/>
    <w:rsid w:val="003E5DB8"/>
    <w:rsid w:val="003E7D98"/>
    <w:rsid w:val="00406BB9"/>
    <w:rsid w:val="00412C20"/>
    <w:rsid w:val="00431A2D"/>
    <w:rsid w:val="004335BE"/>
    <w:rsid w:val="00433C87"/>
    <w:rsid w:val="004359FC"/>
    <w:rsid w:val="004400FD"/>
    <w:rsid w:val="00440994"/>
    <w:rsid w:val="00442221"/>
    <w:rsid w:val="004423A1"/>
    <w:rsid w:val="004475C9"/>
    <w:rsid w:val="004504A2"/>
    <w:rsid w:val="004574CA"/>
    <w:rsid w:val="004609BD"/>
    <w:rsid w:val="004628A6"/>
    <w:rsid w:val="00467B76"/>
    <w:rsid w:val="0047341F"/>
    <w:rsid w:val="0047603A"/>
    <w:rsid w:val="00483788"/>
    <w:rsid w:val="00485E82"/>
    <w:rsid w:val="00486C45"/>
    <w:rsid w:val="004A0718"/>
    <w:rsid w:val="004A5EB6"/>
    <w:rsid w:val="004B1D55"/>
    <w:rsid w:val="004B2A36"/>
    <w:rsid w:val="004B66F1"/>
    <w:rsid w:val="004B7209"/>
    <w:rsid w:val="004C0B16"/>
    <w:rsid w:val="004C3817"/>
    <w:rsid w:val="004C418F"/>
    <w:rsid w:val="004C48B1"/>
    <w:rsid w:val="004D4998"/>
    <w:rsid w:val="004D6469"/>
    <w:rsid w:val="004D6EB5"/>
    <w:rsid w:val="004D7052"/>
    <w:rsid w:val="004E0187"/>
    <w:rsid w:val="004E4A3B"/>
    <w:rsid w:val="004E77FA"/>
    <w:rsid w:val="004F382D"/>
    <w:rsid w:val="004F4408"/>
    <w:rsid w:val="00505B3F"/>
    <w:rsid w:val="00507C6B"/>
    <w:rsid w:val="00507DE3"/>
    <w:rsid w:val="00513430"/>
    <w:rsid w:val="00517E5E"/>
    <w:rsid w:val="00523EA3"/>
    <w:rsid w:val="00524127"/>
    <w:rsid w:val="005266AC"/>
    <w:rsid w:val="00536B28"/>
    <w:rsid w:val="00542E78"/>
    <w:rsid w:val="005621B6"/>
    <w:rsid w:val="00562379"/>
    <w:rsid w:val="00572A41"/>
    <w:rsid w:val="0058037E"/>
    <w:rsid w:val="005813FE"/>
    <w:rsid w:val="00581810"/>
    <w:rsid w:val="005821CC"/>
    <w:rsid w:val="00585A2A"/>
    <w:rsid w:val="005864E6"/>
    <w:rsid w:val="005904EC"/>
    <w:rsid w:val="00591321"/>
    <w:rsid w:val="005960F3"/>
    <w:rsid w:val="005A1055"/>
    <w:rsid w:val="005A5293"/>
    <w:rsid w:val="005A7DA1"/>
    <w:rsid w:val="005B01AA"/>
    <w:rsid w:val="005D1B15"/>
    <w:rsid w:val="005D539E"/>
    <w:rsid w:val="005D7D21"/>
    <w:rsid w:val="005D7EC1"/>
    <w:rsid w:val="005E3383"/>
    <w:rsid w:val="005E5A82"/>
    <w:rsid w:val="005E6AC9"/>
    <w:rsid w:val="005F0FE0"/>
    <w:rsid w:val="005F42E8"/>
    <w:rsid w:val="005F5985"/>
    <w:rsid w:val="006011A6"/>
    <w:rsid w:val="006051DD"/>
    <w:rsid w:val="00613C3B"/>
    <w:rsid w:val="00616D2F"/>
    <w:rsid w:val="0063404A"/>
    <w:rsid w:val="006410F8"/>
    <w:rsid w:val="00641FA0"/>
    <w:rsid w:val="006444BD"/>
    <w:rsid w:val="006460EB"/>
    <w:rsid w:val="00650BA7"/>
    <w:rsid w:val="00670062"/>
    <w:rsid w:val="00670310"/>
    <w:rsid w:val="00670C4D"/>
    <w:rsid w:val="00674989"/>
    <w:rsid w:val="0068300D"/>
    <w:rsid w:val="0069180D"/>
    <w:rsid w:val="00691D3C"/>
    <w:rsid w:val="0069299C"/>
    <w:rsid w:val="00696638"/>
    <w:rsid w:val="006A0C33"/>
    <w:rsid w:val="006A2C87"/>
    <w:rsid w:val="006A3683"/>
    <w:rsid w:val="006A49D7"/>
    <w:rsid w:val="006B0E26"/>
    <w:rsid w:val="006B6AD7"/>
    <w:rsid w:val="006C7808"/>
    <w:rsid w:val="006D35C0"/>
    <w:rsid w:val="006D37CE"/>
    <w:rsid w:val="006D6A55"/>
    <w:rsid w:val="006E2499"/>
    <w:rsid w:val="006E4CCC"/>
    <w:rsid w:val="006E6BC9"/>
    <w:rsid w:val="006F5244"/>
    <w:rsid w:val="006F7349"/>
    <w:rsid w:val="00717185"/>
    <w:rsid w:val="007233B0"/>
    <w:rsid w:val="00723E90"/>
    <w:rsid w:val="00724110"/>
    <w:rsid w:val="00725DD3"/>
    <w:rsid w:val="007261B4"/>
    <w:rsid w:val="0073261F"/>
    <w:rsid w:val="0073403B"/>
    <w:rsid w:val="00734DE3"/>
    <w:rsid w:val="0074462A"/>
    <w:rsid w:val="007458BE"/>
    <w:rsid w:val="007475AA"/>
    <w:rsid w:val="007507F1"/>
    <w:rsid w:val="00752B5E"/>
    <w:rsid w:val="0075300E"/>
    <w:rsid w:val="00775A34"/>
    <w:rsid w:val="00781F00"/>
    <w:rsid w:val="007824C2"/>
    <w:rsid w:val="00783386"/>
    <w:rsid w:val="00784E0B"/>
    <w:rsid w:val="007858A4"/>
    <w:rsid w:val="007932D0"/>
    <w:rsid w:val="007A448E"/>
    <w:rsid w:val="007A4BFA"/>
    <w:rsid w:val="007A64D5"/>
    <w:rsid w:val="007B075F"/>
    <w:rsid w:val="007B1535"/>
    <w:rsid w:val="007B44B8"/>
    <w:rsid w:val="007B44BE"/>
    <w:rsid w:val="007B4DFE"/>
    <w:rsid w:val="007B5E29"/>
    <w:rsid w:val="007C0E90"/>
    <w:rsid w:val="007C2DB7"/>
    <w:rsid w:val="007C3085"/>
    <w:rsid w:val="007D05DF"/>
    <w:rsid w:val="007D092E"/>
    <w:rsid w:val="007D2636"/>
    <w:rsid w:val="007E1C02"/>
    <w:rsid w:val="007E3BF9"/>
    <w:rsid w:val="007E45DB"/>
    <w:rsid w:val="007E5BBF"/>
    <w:rsid w:val="007F55A6"/>
    <w:rsid w:val="00802B5C"/>
    <w:rsid w:val="00804025"/>
    <w:rsid w:val="00811169"/>
    <w:rsid w:val="0081256A"/>
    <w:rsid w:val="00814650"/>
    <w:rsid w:val="0081729D"/>
    <w:rsid w:val="00823BA0"/>
    <w:rsid w:val="00840287"/>
    <w:rsid w:val="008440C4"/>
    <w:rsid w:val="00845D90"/>
    <w:rsid w:val="00860A57"/>
    <w:rsid w:val="008617B2"/>
    <w:rsid w:val="008733F9"/>
    <w:rsid w:val="00874634"/>
    <w:rsid w:val="0087525B"/>
    <w:rsid w:val="00886BDB"/>
    <w:rsid w:val="008879F3"/>
    <w:rsid w:val="00895335"/>
    <w:rsid w:val="00895679"/>
    <w:rsid w:val="008A115B"/>
    <w:rsid w:val="008A5237"/>
    <w:rsid w:val="008A5957"/>
    <w:rsid w:val="008C0B21"/>
    <w:rsid w:val="008C0E6C"/>
    <w:rsid w:val="008C3734"/>
    <w:rsid w:val="008C43D1"/>
    <w:rsid w:val="008D080F"/>
    <w:rsid w:val="008F4B06"/>
    <w:rsid w:val="008F63FD"/>
    <w:rsid w:val="0090277A"/>
    <w:rsid w:val="009055AB"/>
    <w:rsid w:val="00905D60"/>
    <w:rsid w:val="00911246"/>
    <w:rsid w:val="009118B4"/>
    <w:rsid w:val="009130E3"/>
    <w:rsid w:val="00921E0D"/>
    <w:rsid w:val="00925283"/>
    <w:rsid w:val="0092569C"/>
    <w:rsid w:val="00927BAE"/>
    <w:rsid w:val="00930720"/>
    <w:rsid w:val="009377EA"/>
    <w:rsid w:val="00940331"/>
    <w:rsid w:val="009439D0"/>
    <w:rsid w:val="009450C8"/>
    <w:rsid w:val="00945664"/>
    <w:rsid w:val="00952521"/>
    <w:rsid w:val="00956D3F"/>
    <w:rsid w:val="00963AA6"/>
    <w:rsid w:val="00964776"/>
    <w:rsid w:val="009650F8"/>
    <w:rsid w:val="00976A61"/>
    <w:rsid w:val="009833A6"/>
    <w:rsid w:val="00985BCA"/>
    <w:rsid w:val="00994371"/>
    <w:rsid w:val="009961C5"/>
    <w:rsid w:val="009A037B"/>
    <w:rsid w:val="009B1CCC"/>
    <w:rsid w:val="009B2338"/>
    <w:rsid w:val="009B2DBB"/>
    <w:rsid w:val="009B52F7"/>
    <w:rsid w:val="009B7217"/>
    <w:rsid w:val="009B7D59"/>
    <w:rsid w:val="009C2322"/>
    <w:rsid w:val="009C24C8"/>
    <w:rsid w:val="009D0DCA"/>
    <w:rsid w:val="009D239C"/>
    <w:rsid w:val="009D5420"/>
    <w:rsid w:val="009D5DE4"/>
    <w:rsid w:val="009D7041"/>
    <w:rsid w:val="009F0E30"/>
    <w:rsid w:val="009F1F0A"/>
    <w:rsid w:val="009F48D4"/>
    <w:rsid w:val="00A0517D"/>
    <w:rsid w:val="00A051E5"/>
    <w:rsid w:val="00A07535"/>
    <w:rsid w:val="00A12967"/>
    <w:rsid w:val="00A13EF1"/>
    <w:rsid w:val="00A1551A"/>
    <w:rsid w:val="00A16179"/>
    <w:rsid w:val="00A34947"/>
    <w:rsid w:val="00A36E8C"/>
    <w:rsid w:val="00A3749E"/>
    <w:rsid w:val="00A41387"/>
    <w:rsid w:val="00A477D3"/>
    <w:rsid w:val="00A53224"/>
    <w:rsid w:val="00A569F6"/>
    <w:rsid w:val="00A60D39"/>
    <w:rsid w:val="00A60FD6"/>
    <w:rsid w:val="00A76C12"/>
    <w:rsid w:val="00A8191E"/>
    <w:rsid w:val="00A83994"/>
    <w:rsid w:val="00A90FCB"/>
    <w:rsid w:val="00A91F65"/>
    <w:rsid w:val="00A95988"/>
    <w:rsid w:val="00A96BEE"/>
    <w:rsid w:val="00AA7930"/>
    <w:rsid w:val="00AB5DB2"/>
    <w:rsid w:val="00AC1A71"/>
    <w:rsid w:val="00AC463F"/>
    <w:rsid w:val="00AC4B32"/>
    <w:rsid w:val="00AD0B2C"/>
    <w:rsid w:val="00AE3925"/>
    <w:rsid w:val="00AE51CD"/>
    <w:rsid w:val="00AF2778"/>
    <w:rsid w:val="00B0168D"/>
    <w:rsid w:val="00B12766"/>
    <w:rsid w:val="00B12F11"/>
    <w:rsid w:val="00B16181"/>
    <w:rsid w:val="00B16489"/>
    <w:rsid w:val="00B21EA9"/>
    <w:rsid w:val="00B336AC"/>
    <w:rsid w:val="00B33AC5"/>
    <w:rsid w:val="00B3650C"/>
    <w:rsid w:val="00B42307"/>
    <w:rsid w:val="00B477C1"/>
    <w:rsid w:val="00B51941"/>
    <w:rsid w:val="00B52543"/>
    <w:rsid w:val="00B61D40"/>
    <w:rsid w:val="00B653FB"/>
    <w:rsid w:val="00B6580B"/>
    <w:rsid w:val="00B65CE2"/>
    <w:rsid w:val="00B7059F"/>
    <w:rsid w:val="00B71197"/>
    <w:rsid w:val="00B71762"/>
    <w:rsid w:val="00B841E6"/>
    <w:rsid w:val="00B93AC4"/>
    <w:rsid w:val="00B97400"/>
    <w:rsid w:val="00BA0D48"/>
    <w:rsid w:val="00BA374C"/>
    <w:rsid w:val="00BA463C"/>
    <w:rsid w:val="00BA74ED"/>
    <w:rsid w:val="00BB267A"/>
    <w:rsid w:val="00BC2643"/>
    <w:rsid w:val="00BC58FA"/>
    <w:rsid w:val="00BD02D6"/>
    <w:rsid w:val="00BD3299"/>
    <w:rsid w:val="00BD4F09"/>
    <w:rsid w:val="00BE2480"/>
    <w:rsid w:val="00BE3329"/>
    <w:rsid w:val="00BE4118"/>
    <w:rsid w:val="00BE482E"/>
    <w:rsid w:val="00BE629B"/>
    <w:rsid w:val="00BE7020"/>
    <w:rsid w:val="00BF0058"/>
    <w:rsid w:val="00BF0D82"/>
    <w:rsid w:val="00C0305B"/>
    <w:rsid w:val="00C0331B"/>
    <w:rsid w:val="00C03F04"/>
    <w:rsid w:val="00C04C33"/>
    <w:rsid w:val="00C214C9"/>
    <w:rsid w:val="00C242FF"/>
    <w:rsid w:val="00C24830"/>
    <w:rsid w:val="00C2743B"/>
    <w:rsid w:val="00C32773"/>
    <w:rsid w:val="00C446A3"/>
    <w:rsid w:val="00C558F5"/>
    <w:rsid w:val="00C5610C"/>
    <w:rsid w:val="00C56DF3"/>
    <w:rsid w:val="00C65AB8"/>
    <w:rsid w:val="00C67B89"/>
    <w:rsid w:val="00C70442"/>
    <w:rsid w:val="00C7057F"/>
    <w:rsid w:val="00C81531"/>
    <w:rsid w:val="00C829D6"/>
    <w:rsid w:val="00C84372"/>
    <w:rsid w:val="00C904E6"/>
    <w:rsid w:val="00C95BF1"/>
    <w:rsid w:val="00CB7309"/>
    <w:rsid w:val="00CC32F3"/>
    <w:rsid w:val="00CC4C63"/>
    <w:rsid w:val="00CD4A72"/>
    <w:rsid w:val="00CE1C84"/>
    <w:rsid w:val="00CE1EE3"/>
    <w:rsid w:val="00CE52FB"/>
    <w:rsid w:val="00CF6623"/>
    <w:rsid w:val="00D03A6E"/>
    <w:rsid w:val="00D05509"/>
    <w:rsid w:val="00D07E09"/>
    <w:rsid w:val="00D12C5D"/>
    <w:rsid w:val="00D21638"/>
    <w:rsid w:val="00D33117"/>
    <w:rsid w:val="00D353BB"/>
    <w:rsid w:val="00D458A5"/>
    <w:rsid w:val="00D57F69"/>
    <w:rsid w:val="00D77425"/>
    <w:rsid w:val="00D8283E"/>
    <w:rsid w:val="00D8718E"/>
    <w:rsid w:val="00D93071"/>
    <w:rsid w:val="00D94A06"/>
    <w:rsid w:val="00D95F5B"/>
    <w:rsid w:val="00DA5474"/>
    <w:rsid w:val="00DA78B5"/>
    <w:rsid w:val="00DB1E4F"/>
    <w:rsid w:val="00DB58B4"/>
    <w:rsid w:val="00DC11A6"/>
    <w:rsid w:val="00DC1921"/>
    <w:rsid w:val="00DC6B8F"/>
    <w:rsid w:val="00DC7641"/>
    <w:rsid w:val="00DD1EE4"/>
    <w:rsid w:val="00DD50DC"/>
    <w:rsid w:val="00DD679A"/>
    <w:rsid w:val="00DD752F"/>
    <w:rsid w:val="00DE00AA"/>
    <w:rsid w:val="00DE57C0"/>
    <w:rsid w:val="00DE7643"/>
    <w:rsid w:val="00DF78B6"/>
    <w:rsid w:val="00E07BFD"/>
    <w:rsid w:val="00E1283E"/>
    <w:rsid w:val="00E13024"/>
    <w:rsid w:val="00E13A97"/>
    <w:rsid w:val="00E159F8"/>
    <w:rsid w:val="00E2297C"/>
    <w:rsid w:val="00E243A2"/>
    <w:rsid w:val="00E24A91"/>
    <w:rsid w:val="00E32031"/>
    <w:rsid w:val="00E32C06"/>
    <w:rsid w:val="00E34E92"/>
    <w:rsid w:val="00E55310"/>
    <w:rsid w:val="00E64650"/>
    <w:rsid w:val="00E711F3"/>
    <w:rsid w:val="00E734D5"/>
    <w:rsid w:val="00E73768"/>
    <w:rsid w:val="00E80335"/>
    <w:rsid w:val="00E86190"/>
    <w:rsid w:val="00E873C7"/>
    <w:rsid w:val="00E90719"/>
    <w:rsid w:val="00E91C08"/>
    <w:rsid w:val="00E965DC"/>
    <w:rsid w:val="00E9687E"/>
    <w:rsid w:val="00EA3EEC"/>
    <w:rsid w:val="00EB4851"/>
    <w:rsid w:val="00EB5E0A"/>
    <w:rsid w:val="00EC6DA4"/>
    <w:rsid w:val="00ED4D01"/>
    <w:rsid w:val="00EE0A80"/>
    <w:rsid w:val="00EE3D9F"/>
    <w:rsid w:val="00EF0184"/>
    <w:rsid w:val="00EF5914"/>
    <w:rsid w:val="00EF5BBC"/>
    <w:rsid w:val="00EF683C"/>
    <w:rsid w:val="00EF6FE9"/>
    <w:rsid w:val="00EF7849"/>
    <w:rsid w:val="00F02567"/>
    <w:rsid w:val="00F148F1"/>
    <w:rsid w:val="00F14F83"/>
    <w:rsid w:val="00F15E75"/>
    <w:rsid w:val="00F20520"/>
    <w:rsid w:val="00F34074"/>
    <w:rsid w:val="00F3772C"/>
    <w:rsid w:val="00F40552"/>
    <w:rsid w:val="00F427E3"/>
    <w:rsid w:val="00F44917"/>
    <w:rsid w:val="00F51E6F"/>
    <w:rsid w:val="00F61D39"/>
    <w:rsid w:val="00F6205A"/>
    <w:rsid w:val="00F64E46"/>
    <w:rsid w:val="00F65530"/>
    <w:rsid w:val="00F75C0F"/>
    <w:rsid w:val="00F76C16"/>
    <w:rsid w:val="00F76DE8"/>
    <w:rsid w:val="00F81023"/>
    <w:rsid w:val="00F81719"/>
    <w:rsid w:val="00F94865"/>
    <w:rsid w:val="00FA3C9D"/>
    <w:rsid w:val="00FA6BC7"/>
    <w:rsid w:val="00FA7D71"/>
    <w:rsid w:val="00FB1671"/>
    <w:rsid w:val="00FB21B5"/>
    <w:rsid w:val="00FC0B41"/>
    <w:rsid w:val="00FC4239"/>
    <w:rsid w:val="00FD0311"/>
    <w:rsid w:val="00FE6984"/>
    <w:rsid w:val="00FE7BB5"/>
    <w:rsid w:val="00FF2CF1"/>
    <w:rsid w:val="017AB633"/>
    <w:rsid w:val="01E4A526"/>
    <w:rsid w:val="02462A7E"/>
    <w:rsid w:val="027CEEB6"/>
    <w:rsid w:val="0320925B"/>
    <w:rsid w:val="03452E47"/>
    <w:rsid w:val="041FCF09"/>
    <w:rsid w:val="0457766C"/>
    <w:rsid w:val="045B727B"/>
    <w:rsid w:val="04E0B077"/>
    <w:rsid w:val="04FC294E"/>
    <w:rsid w:val="0543A10D"/>
    <w:rsid w:val="05A3CE5D"/>
    <w:rsid w:val="05D467FF"/>
    <w:rsid w:val="06547A85"/>
    <w:rsid w:val="06B18610"/>
    <w:rsid w:val="06BA8AC9"/>
    <w:rsid w:val="073E417A"/>
    <w:rsid w:val="0815C6AB"/>
    <w:rsid w:val="08891AA8"/>
    <w:rsid w:val="08FE981A"/>
    <w:rsid w:val="094E0273"/>
    <w:rsid w:val="09FAC57B"/>
    <w:rsid w:val="0A404A84"/>
    <w:rsid w:val="0A922341"/>
    <w:rsid w:val="0AE649BA"/>
    <w:rsid w:val="0C453AE8"/>
    <w:rsid w:val="0C495FF4"/>
    <w:rsid w:val="0CE56735"/>
    <w:rsid w:val="0D472CBD"/>
    <w:rsid w:val="0E4C0675"/>
    <w:rsid w:val="0E67C312"/>
    <w:rsid w:val="0EA825ED"/>
    <w:rsid w:val="0F1B16CD"/>
    <w:rsid w:val="0F342C6B"/>
    <w:rsid w:val="1081F8BF"/>
    <w:rsid w:val="113E940F"/>
    <w:rsid w:val="116EE122"/>
    <w:rsid w:val="12F2D47E"/>
    <w:rsid w:val="132E19DC"/>
    <w:rsid w:val="13AD64E7"/>
    <w:rsid w:val="13E60163"/>
    <w:rsid w:val="14059FD3"/>
    <w:rsid w:val="15069AA5"/>
    <w:rsid w:val="15483E8C"/>
    <w:rsid w:val="15D83D61"/>
    <w:rsid w:val="15D86AF8"/>
    <w:rsid w:val="16BEE07D"/>
    <w:rsid w:val="17111FF4"/>
    <w:rsid w:val="1719DAE8"/>
    <w:rsid w:val="18D37190"/>
    <w:rsid w:val="190CF2ED"/>
    <w:rsid w:val="193A8A12"/>
    <w:rsid w:val="1A4B35F1"/>
    <w:rsid w:val="1A79C136"/>
    <w:rsid w:val="1AFE066E"/>
    <w:rsid w:val="1B323033"/>
    <w:rsid w:val="1B6E517C"/>
    <w:rsid w:val="1C3A8DE9"/>
    <w:rsid w:val="1D0BCDA1"/>
    <w:rsid w:val="1DDA8216"/>
    <w:rsid w:val="1DF124C5"/>
    <w:rsid w:val="1E0341A5"/>
    <w:rsid w:val="1E2873CC"/>
    <w:rsid w:val="1E4C1C4F"/>
    <w:rsid w:val="1F14B973"/>
    <w:rsid w:val="20116B1E"/>
    <w:rsid w:val="2033ACFF"/>
    <w:rsid w:val="2099A255"/>
    <w:rsid w:val="212E346A"/>
    <w:rsid w:val="2227C6DF"/>
    <w:rsid w:val="238193EE"/>
    <w:rsid w:val="25CDDD11"/>
    <w:rsid w:val="25E51B81"/>
    <w:rsid w:val="27927082"/>
    <w:rsid w:val="28AF83D9"/>
    <w:rsid w:val="2E2E1FEE"/>
    <w:rsid w:val="2E49E57C"/>
    <w:rsid w:val="2F837EF0"/>
    <w:rsid w:val="302DD63B"/>
    <w:rsid w:val="30AB0799"/>
    <w:rsid w:val="30DEF5B0"/>
    <w:rsid w:val="31449396"/>
    <w:rsid w:val="31C0F556"/>
    <w:rsid w:val="323A87DF"/>
    <w:rsid w:val="32BDBBAB"/>
    <w:rsid w:val="32E9869C"/>
    <w:rsid w:val="3448438B"/>
    <w:rsid w:val="345245CA"/>
    <w:rsid w:val="35143300"/>
    <w:rsid w:val="35FE55EE"/>
    <w:rsid w:val="3617E5E3"/>
    <w:rsid w:val="367F09D0"/>
    <w:rsid w:val="3748AF3A"/>
    <w:rsid w:val="37602C02"/>
    <w:rsid w:val="3779CD56"/>
    <w:rsid w:val="37960D20"/>
    <w:rsid w:val="38A77DD7"/>
    <w:rsid w:val="39C03472"/>
    <w:rsid w:val="39F52C54"/>
    <w:rsid w:val="3A9701BD"/>
    <w:rsid w:val="3AB9511B"/>
    <w:rsid w:val="3AC03AE8"/>
    <w:rsid w:val="3CFEAEFF"/>
    <w:rsid w:val="3D0D6042"/>
    <w:rsid w:val="3D530985"/>
    <w:rsid w:val="3D9225C9"/>
    <w:rsid w:val="3D9B4FD4"/>
    <w:rsid w:val="3DB90924"/>
    <w:rsid w:val="3DE81DA5"/>
    <w:rsid w:val="3F0A23CF"/>
    <w:rsid w:val="3F239B88"/>
    <w:rsid w:val="40DFD6B8"/>
    <w:rsid w:val="41C8483C"/>
    <w:rsid w:val="432A347F"/>
    <w:rsid w:val="444CFDEF"/>
    <w:rsid w:val="452A48A7"/>
    <w:rsid w:val="45BB6031"/>
    <w:rsid w:val="4601FFA6"/>
    <w:rsid w:val="4698DD2F"/>
    <w:rsid w:val="47509521"/>
    <w:rsid w:val="47F5468D"/>
    <w:rsid w:val="493C6765"/>
    <w:rsid w:val="4A0A4F1C"/>
    <w:rsid w:val="4A97E2D9"/>
    <w:rsid w:val="4B30CD34"/>
    <w:rsid w:val="4B504063"/>
    <w:rsid w:val="4BEE1000"/>
    <w:rsid w:val="4C107821"/>
    <w:rsid w:val="4C66FC7C"/>
    <w:rsid w:val="4DD1EB40"/>
    <w:rsid w:val="4F1C101A"/>
    <w:rsid w:val="4FF2FBF1"/>
    <w:rsid w:val="50387915"/>
    <w:rsid w:val="50B9EC40"/>
    <w:rsid w:val="50EED8FC"/>
    <w:rsid w:val="510826A3"/>
    <w:rsid w:val="511B3F1D"/>
    <w:rsid w:val="5191CE06"/>
    <w:rsid w:val="51C22A3E"/>
    <w:rsid w:val="528CDA63"/>
    <w:rsid w:val="52D9BB5D"/>
    <w:rsid w:val="52F19A0C"/>
    <w:rsid w:val="54296156"/>
    <w:rsid w:val="54D351AA"/>
    <w:rsid w:val="54E6D5E4"/>
    <w:rsid w:val="55525060"/>
    <w:rsid w:val="5634BD3F"/>
    <w:rsid w:val="58614D43"/>
    <w:rsid w:val="58C587A0"/>
    <w:rsid w:val="59358C6D"/>
    <w:rsid w:val="59FC5467"/>
    <w:rsid w:val="5A962299"/>
    <w:rsid w:val="5BAFD729"/>
    <w:rsid w:val="5BC53A09"/>
    <w:rsid w:val="5C090208"/>
    <w:rsid w:val="5D345747"/>
    <w:rsid w:val="5E71B6B9"/>
    <w:rsid w:val="5E9F0CA1"/>
    <w:rsid w:val="5EBCF9A6"/>
    <w:rsid w:val="5ED027A8"/>
    <w:rsid w:val="5F216BD8"/>
    <w:rsid w:val="5FDC7CA5"/>
    <w:rsid w:val="60BD3C39"/>
    <w:rsid w:val="6135AA39"/>
    <w:rsid w:val="614A8929"/>
    <w:rsid w:val="619565F9"/>
    <w:rsid w:val="62547210"/>
    <w:rsid w:val="62E6598A"/>
    <w:rsid w:val="637A3414"/>
    <w:rsid w:val="645C7894"/>
    <w:rsid w:val="64C8A4AB"/>
    <w:rsid w:val="6585A067"/>
    <w:rsid w:val="65905AC3"/>
    <w:rsid w:val="6603F8A8"/>
    <w:rsid w:val="66883503"/>
    <w:rsid w:val="668DA83F"/>
    <w:rsid w:val="676084D7"/>
    <w:rsid w:val="692A15E5"/>
    <w:rsid w:val="69B81A01"/>
    <w:rsid w:val="69DE1ED1"/>
    <w:rsid w:val="69E1F7BC"/>
    <w:rsid w:val="6A5A7D9A"/>
    <w:rsid w:val="6A9518AF"/>
    <w:rsid w:val="6AE93FE6"/>
    <w:rsid w:val="6B452059"/>
    <w:rsid w:val="6B8C6CE6"/>
    <w:rsid w:val="6BE52E62"/>
    <w:rsid w:val="6CA8B4E5"/>
    <w:rsid w:val="6DCA2397"/>
    <w:rsid w:val="6E5A90E7"/>
    <w:rsid w:val="6E7A1E8B"/>
    <w:rsid w:val="6EFF4529"/>
    <w:rsid w:val="6F1C6787"/>
    <w:rsid w:val="6FDF3869"/>
    <w:rsid w:val="70425216"/>
    <w:rsid w:val="70B430E0"/>
    <w:rsid w:val="71065039"/>
    <w:rsid w:val="7137F19F"/>
    <w:rsid w:val="713C2463"/>
    <w:rsid w:val="737CB9D5"/>
    <w:rsid w:val="74EBCE9A"/>
    <w:rsid w:val="75005FC2"/>
    <w:rsid w:val="75743B7A"/>
    <w:rsid w:val="75771B42"/>
    <w:rsid w:val="7591ADEB"/>
    <w:rsid w:val="7598B2E5"/>
    <w:rsid w:val="775C26C0"/>
    <w:rsid w:val="775C91B6"/>
    <w:rsid w:val="77972890"/>
    <w:rsid w:val="784E0479"/>
    <w:rsid w:val="78DDFB42"/>
    <w:rsid w:val="79CC0C2C"/>
    <w:rsid w:val="7A0C69E1"/>
    <w:rsid w:val="7A0D19EB"/>
    <w:rsid w:val="7A636D55"/>
    <w:rsid w:val="7B75725E"/>
    <w:rsid w:val="7BC0BF6A"/>
    <w:rsid w:val="7CDD88AF"/>
    <w:rsid w:val="7E21A9BE"/>
    <w:rsid w:val="7F1080F3"/>
    <w:rsid w:val="7FA77A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0CEB99"/>
  <w15:chartTrackingRefBased/>
  <w15:docId w15:val="{C096E411-9800-4ADC-B690-B2B89E9D8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3BA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6256F"/>
    <w:rPr>
      <w:color w:val="0000FF"/>
      <w:u w:val="single"/>
    </w:rPr>
  </w:style>
  <w:style w:type="character" w:styleId="FollowedHyperlink">
    <w:name w:val="FollowedHyperlink"/>
    <w:rsid w:val="00152300"/>
    <w:rPr>
      <w:color w:val="800080"/>
      <w:u w:val="single"/>
    </w:rPr>
  </w:style>
  <w:style w:type="paragraph" w:styleId="PlainText">
    <w:name w:val="Plain Text"/>
    <w:basedOn w:val="Normal"/>
    <w:link w:val="PlainTextChar"/>
    <w:uiPriority w:val="99"/>
    <w:rsid w:val="0037239B"/>
    <w:rPr>
      <w:rFonts w:ascii="Courier New" w:hAnsi="Courier New" w:cs="Courier New"/>
      <w:sz w:val="20"/>
      <w:szCs w:val="20"/>
    </w:rPr>
  </w:style>
  <w:style w:type="character" w:customStyle="1" w:styleId="PlainTextChar">
    <w:name w:val="Plain Text Char"/>
    <w:link w:val="PlainText"/>
    <w:uiPriority w:val="99"/>
    <w:rsid w:val="0037239B"/>
    <w:rPr>
      <w:rFonts w:ascii="Courier New" w:hAnsi="Courier New" w:cs="Courier New"/>
    </w:rPr>
  </w:style>
  <w:style w:type="character" w:styleId="CommentReference">
    <w:name w:val="annotation reference"/>
    <w:rsid w:val="002634D6"/>
    <w:rPr>
      <w:sz w:val="16"/>
      <w:szCs w:val="16"/>
    </w:rPr>
  </w:style>
  <w:style w:type="paragraph" w:styleId="CommentText">
    <w:name w:val="annotation text"/>
    <w:basedOn w:val="Normal"/>
    <w:link w:val="CommentTextChar"/>
    <w:rsid w:val="002634D6"/>
    <w:rPr>
      <w:sz w:val="20"/>
      <w:szCs w:val="20"/>
    </w:rPr>
  </w:style>
  <w:style w:type="character" w:customStyle="1" w:styleId="CommentTextChar">
    <w:name w:val="Comment Text Char"/>
    <w:basedOn w:val="DefaultParagraphFont"/>
    <w:link w:val="CommentText"/>
    <w:rsid w:val="002634D6"/>
  </w:style>
  <w:style w:type="paragraph" w:styleId="CommentSubject">
    <w:name w:val="annotation subject"/>
    <w:basedOn w:val="CommentText"/>
    <w:next w:val="CommentText"/>
    <w:link w:val="CommentSubjectChar"/>
    <w:rsid w:val="002634D6"/>
    <w:rPr>
      <w:b/>
      <w:bCs/>
    </w:rPr>
  </w:style>
  <w:style w:type="character" w:customStyle="1" w:styleId="CommentSubjectChar">
    <w:name w:val="Comment Subject Char"/>
    <w:link w:val="CommentSubject"/>
    <w:rsid w:val="002634D6"/>
    <w:rPr>
      <w:b/>
      <w:bCs/>
    </w:rPr>
  </w:style>
  <w:style w:type="paragraph" w:styleId="BalloonText">
    <w:name w:val="Balloon Text"/>
    <w:basedOn w:val="Normal"/>
    <w:link w:val="BalloonTextChar"/>
    <w:rsid w:val="002634D6"/>
    <w:rPr>
      <w:rFonts w:ascii="Tahoma" w:hAnsi="Tahoma" w:cs="Tahoma"/>
      <w:sz w:val="16"/>
      <w:szCs w:val="16"/>
    </w:rPr>
  </w:style>
  <w:style w:type="character" w:customStyle="1" w:styleId="BalloonTextChar">
    <w:name w:val="Balloon Text Char"/>
    <w:link w:val="BalloonText"/>
    <w:rsid w:val="002634D6"/>
    <w:rPr>
      <w:rFonts w:ascii="Tahoma" w:hAnsi="Tahoma" w:cs="Tahoma"/>
      <w:sz w:val="16"/>
      <w:szCs w:val="16"/>
    </w:rPr>
  </w:style>
  <w:style w:type="paragraph" w:styleId="ListParagraph">
    <w:name w:val="List Paragraph"/>
    <w:basedOn w:val="Normal"/>
    <w:link w:val="ListParagraphChar"/>
    <w:uiPriority w:val="34"/>
    <w:qFormat/>
    <w:rsid w:val="004C3817"/>
    <w:pPr>
      <w:ind w:left="720"/>
      <w:contextualSpacing/>
    </w:pPr>
  </w:style>
  <w:style w:type="paragraph" w:styleId="Header">
    <w:name w:val="header"/>
    <w:basedOn w:val="Normal"/>
    <w:link w:val="HeaderChar"/>
    <w:rsid w:val="006F7349"/>
    <w:pPr>
      <w:tabs>
        <w:tab w:val="center" w:pos="4680"/>
        <w:tab w:val="right" w:pos="9360"/>
      </w:tabs>
    </w:pPr>
  </w:style>
  <w:style w:type="character" w:customStyle="1" w:styleId="HeaderChar">
    <w:name w:val="Header Char"/>
    <w:link w:val="Header"/>
    <w:rsid w:val="006F7349"/>
    <w:rPr>
      <w:sz w:val="24"/>
      <w:szCs w:val="24"/>
    </w:rPr>
  </w:style>
  <w:style w:type="paragraph" w:styleId="Footer">
    <w:name w:val="footer"/>
    <w:basedOn w:val="Normal"/>
    <w:link w:val="FooterChar"/>
    <w:uiPriority w:val="99"/>
    <w:rsid w:val="006F7349"/>
    <w:pPr>
      <w:tabs>
        <w:tab w:val="center" w:pos="4680"/>
        <w:tab w:val="right" w:pos="9360"/>
      </w:tabs>
    </w:pPr>
  </w:style>
  <w:style w:type="character" w:customStyle="1" w:styleId="FooterChar">
    <w:name w:val="Footer Char"/>
    <w:link w:val="Footer"/>
    <w:uiPriority w:val="99"/>
    <w:rsid w:val="006F7349"/>
    <w:rPr>
      <w:sz w:val="24"/>
      <w:szCs w:val="24"/>
    </w:rPr>
  </w:style>
  <w:style w:type="paragraph" w:customStyle="1" w:styleId="Default">
    <w:name w:val="Default"/>
    <w:rsid w:val="00C04C33"/>
    <w:pPr>
      <w:autoSpaceDE w:val="0"/>
      <w:autoSpaceDN w:val="0"/>
      <w:adjustRightInd w:val="0"/>
    </w:pPr>
    <w:rPr>
      <w:rFonts w:ascii="Arial" w:eastAsia="Calibri" w:hAnsi="Arial" w:cs="Arial"/>
      <w:color w:val="000000"/>
      <w:sz w:val="24"/>
      <w:szCs w:val="24"/>
    </w:rPr>
  </w:style>
  <w:style w:type="character" w:customStyle="1" w:styleId="normaltextrun">
    <w:name w:val="normaltextrun"/>
    <w:rsid w:val="00D77425"/>
  </w:style>
  <w:style w:type="paragraph" w:styleId="Revision">
    <w:name w:val="Revision"/>
    <w:hidden/>
    <w:uiPriority w:val="99"/>
    <w:semiHidden/>
    <w:rsid w:val="00E73768"/>
    <w:rPr>
      <w:sz w:val="24"/>
      <w:szCs w:val="24"/>
    </w:rPr>
  </w:style>
  <w:style w:type="character" w:styleId="UnresolvedMention">
    <w:name w:val="Unresolved Mention"/>
    <w:basedOn w:val="DefaultParagraphFont"/>
    <w:uiPriority w:val="99"/>
    <w:semiHidden/>
    <w:unhideWhenUsed/>
    <w:rsid w:val="00EB4851"/>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A96BEE"/>
    <w:rPr>
      <w:rFonts w:asciiTheme="minorHAnsi" w:eastAsiaTheme="minorHAnsi" w:hAnsiTheme="minorHAnsi" w:cstheme="minorBidi"/>
      <w:sz w:val="22"/>
      <w:szCs w:val="22"/>
    </w:rPr>
  </w:style>
  <w:style w:type="character" w:customStyle="1" w:styleId="ListParagraphChar">
    <w:name w:val="List Paragraph Char"/>
    <w:link w:val="ListParagraph"/>
    <w:uiPriority w:val="34"/>
    <w:locked/>
    <w:rsid w:val="00A96BE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66400">
      <w:bodyDiv w:val="1"/>
      <w:marLeft w:val="0"/>
      <w:marRight w:val="0"/>
      <w:marTop w:val="0"/>
      <w:marBottom w:val="0"/>
      <w:divBdr>
        <w:top w:val="none" w:sz="0" w:space="0" w:color="auto"/>
        <w:left w:val="none" w:sz="0" w:space="0" w:color="auto"/>
        <w:bottom w:val="none" w:sz="0" w:space="0" w:color="auto"/>
        <w:right w:val="none" w:sz="0" w:space="0" w:color="auto"/>
      </w:divBdr>
      <w:divsChild>
        <w:div w:id="147482680">
          <w:marLeft w:val="0"/>
          <w:marRight w:val="0"/>
          <w:marTop w:val="0"/>
          <w:marBottom w:val="0"/>
          <w:divBdr>
            <w:top w:val="none" w:sz="0" w:space="0" w:color="auto"/>
            <w:left w:val="none" w:sz="0" w:space="0" w:color="auto"/>
            <w:bottom w:val="none" w:sz="0" w:space="0" w:color="auto"/>
            <w:right w:val="none" w:sz="0" w:space="0" w:color="auto"/>
          </w:divBdr>
        </w:div>
        <w:div w:id="487939482">
          <w:marLeft w:val="0"/>
          <w:marRight w:val="0"/>
          <w:marTop w:val="0"/>
          <w:marBottom w:val="0"/>
          <w:divBdr>
            <w:top w:val="none" w:sz="0" w:space="0" w:color="auto"/>
            <w:left w:val="none" w:sz="0" w:space="0" w:color="auto"/>
            <w:bottom w:val="none" w:sz="0" w:space="0" w:color="auto"/>
            <w:right w:val="none" w:sz="0" w:space="0" w:color="auto"/>
          </w:divBdr>
          <w:divsChild>
            <w:div w:id="231505503">
              <w:marLeft w:val="0"/>
              <w:marRight w:val="0"/>
              <w:marTop w:val="0"/>
              <w:marBottom w:val="0"/>
              <w:divBdr>
                <w:top w:val="none" w:sz="0" w:space="0" w:color="auto"/>
                <w:left w:val="none" w:sz="0" w:space="0" w:color="auto"/>
                <w:bottom w:val="none" w:sz="0" w:space="0" w:color="auto"/>
                <w:right w:val="none" w:sz="0" w:space="0" w:color="auto"/>
              </w:divBdr>
            </w:div>
            <w:div w:id="509218465">
              <w:marLeft w:val="0"/>
              <w:marRight w:val="0"/>
              <w:marTop w:val="0"/>
              <w:marBottom w:val="0"/>
              <w:divBdr>
                <w:top w:val="none" w:sz="0" w:space="0" w:color="auto"/>
                <w:left w:val="none" w:sz="0" w:space="0" w:color="auto"/>
                <w:bottom w:val="none" w:sz="0" w:space="0" w:color="auto"/>
                <w:right w:val="none" w:sz="0" w:space="0" w:color="auto"/>
              </w:divBdr>
            </w:div>
            <w:div w:id="707338380">
              <w:marLeft w:val="0"/>
              <w:marRight w:val="0"/>
              <w:marTop w:val="0"/>
              <w:marBottom w:val="0"/>
              <w:divBdr>
                <w:top w:val="none" w:sz="0" w:space="0" w:color="auto"/>
                <w:left w:val="none" w:sz="0" w:space="0" w:color="auto"/>
                <w:bottom w:val="none" w:sz="0" w:space="0" w:color="auto"/>
                <w:right w:val="none" w:sz="0" w:space="0" w:color="auto"/>
              </w:divBdr>
            </w:div>
            <w:div w:id="885995652">
              <w:marLeft w:val="0"/>
              <w:marRight w:val="0"/>
              <w:marTop w:val="0"/>
              <w:marBottom w:val="0"/>
              <w:divBdr>
                <w:top w:val="none" w:sz="0" w:space="0" w:color="auto"/>
                <w:left w:val="none" w:sz="0" w:space="0" w:color="auto"/>
                <w:bottom w:val="none" w:sz="0" w:space="0" w:color="auto"/>
                <w:right w:val="none" w:sz="0" w:space="0" w:color="auto"/>
              </w:divBdr>
            </w:div>
            <w:div w:id="1447967711">
              <w:marLeft w:val="0"/>
              <w:marRight w:val="0"/>
              <w:marTop w:val="0"/>
              <w:marBottom w:val="0"/>
              <w:divBdr>
                <w:top w:val="none" w:sz="0" w:space="0" w:color="auto"/>
                <w:left w:val="none" w:sz="0" w:space="0" w:color="auto"/>
                <w:bottom w:val="none" w:sz="0" w:space="0" w:color="auto"/>
                <w:right w:val="none" w:sz="0" w:space="0" w:color="auto"/>
              </w:divBdr>
            </w:div>
            <w:div w:id="157423263">
              <w:marLeft w:val="0"/>
              <w:marRight w:val="0"/>
              <w:marTop w:val="0"/>
              <w:marBottom w:val="0"/>
              <w:divBdr>
                <w:top w:val="none" w:sz="0" w:space="0" w:color="auto"/>
                <w:left w:val="none" w:sz="0" w:space="0" w:color="auto"/>
                <w:bottom w:val="none" w:sz="0" w:space="0" w:color="auto"/>
                <w:right w:val="none" w:sz="0" w:space="0" w:color="auto"/>
              </w:divBdr>
            </w:div>
            <w:div w:id="1838568490">
              <w:marLeft w:val="0"/>
              <w:marRight w:val="0"/>
              <w:marTop w:val="0"/>
              <w:marBottom w:val="0"/>
              <w:divBdr>
                <w:top w:val="none" w:sz="0" w:space="0" w:color="auto"/>
                <w:left w:val="none" w:sz="0" w:space="0" w:color="auto"/>
                <w:bottom w:val="none" w:sz="0" w:space="0" w:color="auto"/>
                <w:right w:val="none" w:sz="0" w:space="0" w:color="auto"/>
              </w:divBdr>
            </w:div>
            <w:div w:id="1086684892">
              <w:marLeft w:val="0"/>
              <w:marRight w:val="0"/>
              <w:marTop w:val="0"/>
              <w:marBottom w:val="0"/>
              <w:divBdr>
                <w:top w:val="none" w:sz="0" w:space="0" w:color="auto"/>
                <w:left w:val="none" w:sz="0" w:space="0" w:color="auto"/>
                <w:bottom w:val="none" w:sz="0" w:space="0" w:color="auto"/>
                <w:right w:val="none" w:sz="0" w:space="0" w:color="auto"/>
              </w:divBdr>
            </w:div>
            <w:div w:id="354960449">
              <w:marLeft w:val="0"/>
              <w:marRight w:val="0"/>
              <w:marTop w:val="0"/>
              <w:marBottom w:val="0"/>
              <w:divBdr>
                <w:top w:val="none" w:sz="0" w:space="0" w:color="auto"/>
                <w:left w:val="none" w:sz="0" w:space="0" w:color="auto"/>
                <w:bottom w:val="none" w:sz="0" w:space="0" w:color="auto"/>
                <w:right w:val="none" w:sz="0" w:space="0" w:color="auto"/>
              </w:divBdr>
            </w:div>
            <w:div w:id="1483035652">
              <w:marLeft w:val="0"/>
              <w:marRight w:val="0"/>
              <w:marTop w:val="0"/>
              <w:marBottom w:val="0"/>
              <w:divBdr>
                <w:top w:val="none" w:sz="0" w:space="0" w:color="auto"/>
                <w:left w:val="none" w:sz="0" w:space="0" w:color="auto"/>
                <w:bottom w:val="none" w:sz="0" w:space="0" w:color="auto"/>
                <w:right w:val="none" w:sz="0" w:space="0" w:color="auto"/>
              </w:divBdr>
            </w:div>
            <w:div w:id="1559199573">
              <w:marLeft w:val="0"/>
              <w:marRight w:val="0"/>
              <w:marTop w:val="0"/>
              <w:marBottom w:val="0"/>
              <w:divBdr>
                <w:top w:val="none" w:sz="0" w:space="0" w:color="auto"/>
                <w:left w:val="none" w:sz="0" w:space="0" w:color="auto"/>
                <w:bottom w:val="none" w:sz="0" w:space="0" w:color="auto"/>
                <w:right w:val="none" w:sz="0" w:space="0" w:color="auto"/>
              </w:divBdr>
            </w:div>
            <w:div w:id="2058822600">
              <w:marLeft w:val="0"/>
              <w:marRight w:val="0"/>
              <w:marTop w:val="0"/>
              <w:marBottom w:val="0"/>
              <w:divBdr>
                <w:top w:val="none" w:sz="0" w:space="0" w:color="auto"/>
                <w:left w:val="none" w:sz="0" w:space="0" w:color="auto"/>
                <w:bottom w:val="none" w:sz="0" w:space="0" w:color="auto"/>
                <w:right w:val="none" w:sz="0" w:space="0" w:color="auto"/>
              </w:divBdr>
            </w:div>
            <w:div w:id="71852640">
              <w:marLeft w:val="0"/>
              <w:marRight w:val="0"/>
              <w:marTop w:val="0"/>
              <w:marBottom w:val="0"/>
              <w:divBdr>
                <w:top w:val="none" w:sz="0" w:space="0" w:color="auto"/>
                <w:left w:val="none" w:sz="0" w:space="0" w:color="auto"/>
                <w:bottom w:val="none" w:sz="0" w:space="0" w:color="auto"/>
                <w:right w:val="none" w:sz="0" w:space="0" w:color="auto"/>
              </w:divBdr>
            </w:div>
            <w:div w:id="1151562146">
              <w:marLeft w:val="0"/>
              <w:marRight w:val="0"/>
              <w:marTop w:val="0"/>
              <w:marBottom w:val="0"/>
              <w:divBdr>
                <w:top w:val="none" w:sz="0" w:space="0" w:color="auto"/>
                <w:left w:val="none" w:sz="0" w:space="0" w:color="auto"/>
                <w:bottom w:val="none" w:sz="0" w:space="0" w:color="auto"/>
                <w:right w:val="none" w:sz="0" w:space="0" w:color="auto"/>
              </w:divBdr>
            </w:div>
            <w:div w:id="118183301">
              <w:marLeft w:val="0"/>
              <w:marRight w:val="0"/>
              <w:marTop w:val="0"/>
              <w:marBottom w:val="0"/>
              <w:divBdr>
                <w:top w:val="none" w:sz="0" w:space="0" w:color="auto"/>
                <w:left w:val="none" w:sz="0" w:space="0" w:color="auto"/>
                <w:bottom w:val="none" w:sz="0" w:space="0" w:color="auto"/>
                <w:right w:val="none" w:sz="0" w:space="0" w:color="auto"/>
              </w:divBdr>
            </w:div>
            <w:div w:id="1187408994">
              <w:marLeft w:val="0"/>
              <w:marRight w:val="0"/>
              <w:marTop w:val="0"/>
              <w:marBottom w:val="0"/>
              <w:divBdr>
                <w:top w:val="none" w:sz="0" w:space="0" w:color="auto"/>
                <w:left w:val="none" w:sz="0" w:space="0" w:color="auto"/>
                <w:bottom w:val="none" w:sz="0" w:space="0" w:color="auto"/>
                <w:right w:val="none" w:sz="0" w:space="0" w:color="auto"/>
              </w:divBdr>
            </w:div>
            <w:div w:id="1291591396">
              <w:marLeft w:val="0"/>
              <w:marRight w:val="0"/>
              <w:marTop w:val="0"/>
              <w:marBottom w:val="0"/>
              <w:divBdr>
                <w:top w:val="none" w:sz="0" w:space="0" w:color="auto"/>
                <w:left w:val="none" w:sz="0" w:space="0" w:color="auto"/>
                <w:bottom w:val="none" w:sz="0" w:space="0" w:color="auto"/>
                <w:right w:val="none" w:sz="0" w:space="0" w:color="auto"/>
              </w:divBdr>
            </w:div>
            <w:div w:id="208857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343926">
      <w:bodyDiv w:val="1"/>
      <w:marLeft w:val="0"/>
      <w:marRight w:val="0"/>
      <w:marTop w:val="0"/>
      <w:marBottom w:val="0"/>
      <w:divBdr>
        <w:top w:val="none" w:sz="0" w:space="0" w:color="auto"/>
        <w:left w:val="none" w:sz="0" w:space="0" w:color="auto"/>
        <w:bottom w:val="none" w:sz="0" w:space="0" w:color="auto"/>
        <w:right w:val="none" w:sz="0" w:space="0" w:color="auto"/>
      </w:divBdr>
      <w:divsChild>
        <w:div w:id="1751732751">
          <w:marLeft w:val="0"/>
          <w:marRight w:val="0"/>
          <w:marTop w:val="0"/>
          <w:marBottom w:val="0"/>
          <w:divBdr>
            <w:top w:val="none" w:sz="0" w:space="0" w:color="auto"/>
            <w:left w:val="none" w:sz="0" w:space="0" w:color="auto"/>
            <w:bottom w:val="none" w:sz="0" w:space="0" w:color="auto"/>
            <w:right w:val="none" w:sz="0" w:space="0" w:color="auto"/>
          </w:divBdr>
        </w:div>
        <w:div w:id="673266677">
          <w:marLeft w:val="0"/>
          <w:marRight w:val="0"/>
          <w:marTop w:val="0"/>
          <w:marBottom w:val="0"/>
          <w:divBdr>
            <w:top w:val="none" w:sz="0" w:space="0" w:color="auto"/>
            <w:left w:val="none" w:sz="0" w:space="0" w:color="auto"/>
            <w:bottom w:val="none" w:sz="0" w:space="0" w:color="auto"/>
            <w:right w:val="none" w:sz="0" w:space="0" w:color="auto"/>
          </w:divBdr>
        </w:div>
        <w:div w:id="954487591">
          <w:marLeft w:val="0"/>
          <w:marRight w:val="0"/>
          <w:marTop w:val="0"/>
          <w:marBottom w:val="0"/>
          <w:divBdr>
            <w:top w:val="none" w:sz="0" w:space="0" w:color="auto"/>
            <w:left w:val="none" w:sz="0" w:space="0" w:color="auto"/>
            <w:bottom w:val="none" w:sz="0" w:space="0" w:color="auto"/>
            <w:right w:val="none" w:sz="0" w:space="0" w:color="auto"/>
          </w:divBdr>
        </w:div>
      </w:divsChild>
    </w:div>
    <w:div w:id="424309114">
      <w:bodyDiv w:val="1"/>
      <w:marLeft w:val="0"/>
      <w:marRight w:val="0"/>
      <w:marTop w:val="0"/>
      <w:marBottom w:val="0"/>
      <w:divBdr>
        <w:top w:val="none" w:sz="0" w:space="0" w:color="auto"/>
        <w:left w:val="none" w:sz="0" w:space="0" w:color="auto"/>
        <w:bottom w:val="none" w:sz="0" w:space="0" w:color="auto"/>
        <w:right w:val="none" w:sz="0" w:space="0" w:color="auto"/>
      </w:divBdr>
      <w:divsChild>
        <w:div w:id="154420888">
          <w:marLeft w:val="0"/>
          <w:marRight w:val="0"/>
          <w:marTop w:val="0"/>
          <w:marBottom w:val="0"/>
          <w:divBdr>
            <w:top w:val="none" w:sz="0" w:space="0" w:color="auto"/>
            <w:left w:val="none" w:sz="0" w:space="0" w:color="auto"/>
            <w:bottom w:val="none" w:sz="0" w:space="0" w:color="auto"/>
            <w:right w:val="none" w:sz="0" w:space="0" w:color="auto"/>
          </w:divBdr>
        </w:div>
        <w:div w:id="1410687302">
          <w:marLeft w:val="0"/>
          <w:marRight w:val="0"/>
          <w:marTop w:val="0"/>
          <w:marBottom w:val="0"/>
          <w:divBdr>
            <w:top w:val="none" w:sz="0" w:space="0" w:color="auto"/>
            <w:left w:val="none" w:sz="0" w:space="0" w:color="auto"/>
            <w:bottom w:val="none" w:sz="0" w:space="0" w:color="auto"/>
            <w:right w:val="none" w:sz="0" w:space="0" w:color="auto"/>
          </w:divBdr>
        </w:div>
        <w:div w:id="1759053761">
          <w:marLeft w:val="0"/>
          <w:marRight w:val="0"/>
          <w:marTop w:val="0"/>
          <w:marBottom w:val="0"/>
          <w:divBdr>
            <w:top w:val="none" w:sz="0" w:space="0" w:color="auto"/>
            <w:left w:val="none" w:sz="0" w:space="0" w:color="auto"/>
            <w:bottom w:val="none" w:sz="0" w:space="0" w:color="auto"/>
            <w:right w:val="none" w:sz="0" w:space="0" w:color="auto"/>
          </w:divBdr>
        </w:div>
        <w:div w:id="1933589445">
          <w:marLeft w:val="0"/>
          <w:marRight w:val="0"/>
          <w:marTop w:val="0"/>
          <w:marBottom w:val="0"/>
          <w:divBdr>
            <w:top w:val="none" w:sz="0" w:space="0" w:color="auto"/>
            <w:left w:val="none" w:sz="0" w:space="0" w:color="auto"/>
            <w:bottom w:val="none" w:sz="0" w:space="0" w:color="auto"/>
            <w:right w:val="none" w:sz="0" w:space="0" w:color="auto"/>
          </w:divBdr>
        </w:div>
        <w:div w:id="519003121">
          <w:marLeft w:val="0"/>
          <w:marRight w:val="0"/>
          <w:marTop w:val="0"/>
          <w:marBottom w:val="0"/>
          <w:divBdr>
            <w:top w:val="none" w:sz="0" w:space="0" w:color="auto"/>
            <w:left w:val="none" w:sz="0" w:space="0" w:color="auto"/>
            <w:bottom w:val="none" w:sz="0" w:space="0" w:color="auto"/>
            <w:right w:val="none" w:sz="0" w:space="0" w:color="auto"/>
          </w:divBdr>
        </w:div>
        <w:div w:id="1543788374">
          <w:marLeft w:val="0"/>
          <w:marRight w:val="0"/>
          <w:marTop w:val="0"/>
          <w:marBottom w:val="0"/>
          <w:divBdr>
            <w:top w:val="none" w:sz="0" w:space="0" w:color="auto"/>
            <w:left w:val="none" w:sz="0" w:space="0" w:color="auto"/>
            <w:bottom w:val="none" w:sz="0" w:space="0" w:color="auto"/>
            <w:right w:val="none" w:sz="0" w:space="0" w:color="auto"/>
          </w:divBdr>
        </w:div>
        <w:div w:id="324207579">
          <w:marLeft w:val="0"/>
          <w:marRight w:val="0"/>
          <w:marTop w:val="0"/>
          <w:marBottom w:val="0"/>
          <w:divBdr>
            <w:top w:val="none" w:sz="0" w:space="0" w:color="auto"/>
            <w:left w:val="none" w:sz="0" w:space="0" w:color="auto"/>
            <w:bottom w:val="none" w:sz="0" w:space="0" w:color="auto"/>
            <w:right w:val="none" w:sz="0" w:space="0" w:color="auto"/>
          </w:divBdr>
        </w:div>
        <w:div w:id="1975987003">
          <w:marLeft w:val="0"/>
          <w:marRight w:val="0"/>
          <w:marTop w:val="0"/>
          <w:marBottom w:val="0"/>
          <w:divBdr>
            <w:top w:val="none" w:sz="0" w:space="0" w:color="auto"/>
            <w:left w:val="none" w:sz="0" w:space="0" w:color="auto"/>
            <w:bottom w:val="none" w:sz="0" w:space="0" w:color="auto"/>
            <w:right w:val="none" w:sz="0" w:space="0" w:color="auto"/>
          </w:divBdr>
        </w:div>
        <w:div w:id="211578735">
          <w:marLeft w:val="0"/>
          <w:marRight w:val="0"/>
          <w:marTop w:val="0"/>
          <w:marBottom w:val="0"/>
          <w:divBdr>
            <w:top w:val="none" w:sz="0" w:space="0" w:color="auto"/>
            <w:left w:val="none" w:sz="0" w:space="0" w:color="auto"/>
            <w:bottom w:val="none" w:sz="0" w:space="0" w:color="auto"/>
            <w:right w:val="none" w:sz="0" w:space="0" w:color="auto"/>
          </w:divBdr>
        </w:div>
        <w:div w:id="653291719">
          <w:marLeft w:val="0"/>
          <w:marRight w:val="0"/>
          <w:marTop w:val="0"/>
          <w:marBottom w:val="0"/>
          <w:divBdr>
            <w:top w:val="none" w:sz="0" w:space="0" w:color="auto"/>
            <w:left w:val="none" w:sz="0" w:space="0" w:color="auto"/>
            <w:bottom w:val="none" w:sz="0" w:space="0" w:color="auto"/>
            <w:right w:val="none" w:sz="0" w:space="0" w:color="auto"/>
          </w:divBdr>
        </w:div>
        <w:div w:id="666129375">
          <w:marLeft w:val="0"/>
          <w:marRight w:val="0"/>
          <w:marTop w:val="0"/>
          <w:marBottom w:val="0"/>
          <w:divBdr>
            <w:top w:val="none" w:sz="0" w:space="0" w:color="auto"/>
            <w:left w:val="none" w:sz="0" w:space="0" w:color="auto"/>
            <w:bottom w:val="none" w:sz="0" w:space="0" w:color="auto"/>
            <w:right w:val="none" w:sz="0" w:space="0" w:color="auto"/>
          </w:divBdr>
        </w:div>
        <w:div w:id="903418188">
          <w:marLeft w:val="0"/>
          <w:marRight w:val="0"/>
          <w:marTop w:val="0"/>
          <w:marBottom w:val="0"/>
          <w:divBdr>
            <w:top w:val="none" w:sz="0" w:space="0" w:color="auto"/>
            <w:left w:val="none" w:sz="0" w:space="0" w:color="auto"/>
            <w:bottom w:val="none" w:sz="0" w:space="0" w:color="auto"/>
            <w:right w:val="none" w:sz="0" w:space="0" w:color="auto"/>
          </w:divBdr>
        </w:div>
        <w:div w:id="279608191">
          <w:marLeft w:val="0"/>
          <w:marRight w:val="0"/>
          <w:marTop w:val="0"/>
          <w:marBottom w:val="0"/>
          <w:divBdr>
            <w:top w:val="none" w:sz="0" w:space="0" w:color="auto"/>
            <w:left w:val="none" w:sz="0" w:space="0" w:color="auto"/>
            <w:bottom w:val="none" w:sz="0" w:space="0" w:color="auto"/>
            <w:right w:val="none" w:sz="0" w:space="0" w:color="auto"/>
          </w:divBdr>
        </w:div>
        <w:div w:id="1585259008">
          <w:marLeft w:val="0"/>
          <w:marRight w:val="0"/>
          <w:marTop w:val="0"/>
          <w:marBottom w:val="0"/>
          <w:divBdr>
            <w:top w:val="none" w:sz="0" w:space="0" w:color="auto"/>
            <w:left w:val="none" w:sz="0" w:space="0" w:color="auto"/>
            <w:bottom w:val="none" w:sz="0" w:space="0" w:color="auto"/>
            <w:right w:val="none" w:sz="0" w:space="0" w:color="auto"/>
          </w:divBdr>
        </w:div>
        <w:div w:id="1893148935">
          <w:marLeft w:val="0"/>
          <w:marRight w:val="0"/>
          <w:marTop w:val="0"/>
          <w:marBottom w:val="0"/>
          <w:divBdr>
            <w:top w:val="none" w:sz="0" w:space="0" w:color="auto"/>
            <w:left w:val="none" w:sz="0" w:space="0" w:color="auto"/>
            <w:bottom w:val="none" w:sz="0" w:space="0" w:color="auto"/>
            <w:right w:val="none" w:sz="0" w:space="0" w:color="auto"/>
          </w:divBdr>
        </w:div>
        <w:div w:id="312295901">
          <w:marLeft w:val="0"/>
          <w:marRight w:val="0"/>
          <w:marTop w:val="0"/>
          <w:marBottom w:val="0"/>
          <w:divBdr>
            <w:top w:val="none" w:sz="0" w:space="0" w:color="auto"/>
            <w:left w:val="none" w:sz="0" w:space="0" w:color="auto"/>
            <w:bottom w:val="none" w:sz="0" w:space="0" w:color="auto"/>
            <w:right w:val="none" w:sz="0" w:space="0" w:color="auto"/>
          </w:divBdr>
        </w:div>
        <w:div w:id="1528442902">
          <w:marLeft w:val="0"/>
          <w:marRight w:val="0"/>
          <w:marTop w:val="0"/>
          <w:marBottom w:val="0"/>
          <w:divBdr>
            <w:top w:val="none" w:sz="0" w:space="0" w:color="auto"/>
            <w:left w:val="none" w:sz="0" w:space="0" w:color="auto"/>
            <w:bottom w:val="none" w:sz="0" w:space="0" w:color="auto"/>
            <w:right w:val="none" w:sz="0" w:space="0" w:color="auto"/>
          </w:divBdr>
        </w:div>
        <w:div w:id="1241598936">
          <w:marLeft w:val="0"/>
          <w:marRight w:val="0"/>
          <w:marTop w:val="0"/>
          <w:marBottom w:val="0"/>
          <w:divBdr>
            <w:top w:val="none" w:sz="0" w:space="0" w:color="auto"/>
            <w:left w:val="none" w:sz="0" w:space="0" w:color="auto"/>
            <w:bottom w:val="none" w:sz="0" w:space="0" w:color="auto"/>
            <w:right w:val="none" w:sz="0" w:space="0" w:color="auto"/>
          </w:divBdr>
        </w:div>
        <w:div w:id="1067263578">
          <w:marLeft w:val="0"/>
          <w:marRight w:val="0"/>
          <w:marTop w:val="0"/>
          <w:marBottom w:val="0"/>
          <w:divBdr>
            <w:top w:val="none" w:sz="0" w:space="0" w:color="auto"/>
            <w:left w:val="none" w:sz="0" w:space="0" w:color="auto"/>
            <w:bottom w:val="none" w:sz="0" w:space="0" w:color="auto"/>
            <w:right w:val="none" w:sz="0" w:space="0" w:color="auto"/>
          </w:divBdr>
        </w:div>
        <w:div w:id="1580407668">
          <w:marLeft w:val="0"/>
          <w:marRight w:val="0"/>
          <w:marTop w:val="0"/>
          <w:marBottom w:val="0"/>
          <w:divBdr>
            <w:top w:val="none" w:sz="0" w:space="0" w:color="auto"/>
            <w:left w:val="none" w:sz="0" w:space="0" w:color="auto"/>
            <w:bottom w:val="none" w:sz="0" w:space="0" w:color="auto"/>
            <w:right w:val="none" w:sz="0" w:space="0" w:color="auto"/>
          </w:divBdr>
        </w:div>
        <w:div w:id="1014262647">
          <w:marLeft w:val="0"/>
          <w:marRight w:val="0"/>
          <w:marTop w:val="0"/>
          <w:marBottom w:val="0"/>
          <w:divBdr>
            <w:top w:val="none" w:sz="0" w:space="0" w:color="auto"/>
            <w:left w:val="none" w:sz="0" w:space="0" w:color="auto"/>
            <w:bottom w:val="none" w:sz="0" w:space="0" w:color="auto"/>
            <w:right w:val="none" w:sz="0" w:space="0" w:color="auto"/>
          </w:divBdr>
        </w:div>
        <w:div w:id="598099355">
          <w:marLeft w:val="0"/>
          <w:marRight w:val="0"/>
          <w:marTop w:val="0"/>
          <w:marBottom w:val="0"/>
          <w:divBdr>
            <w:top w:val="none" w:sz="0" w:space="0" w:color="auto"/>
            <w:left w:val="none" w:sz="0" w:space="0" w:color="auto"/>
            <w:bottom w:val="none" w:sz="0" w:space="0" w:color="auto"/>
            <w:right w:val="none" w:sz="0" w:space="0" w:color="auto"/>
          </w:divBdr>
        </w:div>
        <w:div w:id="1509707523">
          <w:marLeft w:val="0"/>
          <w:marRight w:val="0"/>
          <w:marTop w:val="0"/>
          <w:marBottom w:val="0"/>
          <w:divBdr>
            <w:top w:val="none" w:sz="0" w:space="0" w:color="auto"/>
            <w:left w:val="none" w:sz="0" w:space="0" w:color="auto"/>
            <w:bottom w:val="none" w:sz="0" w:space="0" w:color="auto"/>
            <w:right w:val="none" w:sz="0" w:space="0" w:color="auto"/>
          </w:divBdr>
        </w:div>
        <w:div w:id="1354768040">
          <w:marLeft w:val="0"/>
          <w:marRight w:val="0"/>
          <w:marTop w:val="0"/>
          <w:marBottom w:val="0"/>
          <w:divBdr>
            <w:top w:val="none" w:sz="0" w:space="0" w:color="auto"/>
            <w:left w:val="none" w:sz="0" w:space="0" w:color="auto"/>
            <w:bottom w:val="none" w:sz="0" w:space="0" w:color="auto"/>
            <w:right w:val="none" w:sz="0" w:space="0" w:color="auto"/>
          </w:divBdr>
        </w:div>
        <w:div w:id="900288160">
          <w:marLeft w:val="0"/>
          <w:marRight w:val="0"/>
          <w:marTop w:val="0"/>
          <w:marBottom w:val="0"/>
          <w:divBdr>
            <w:top w:val="none" w:sz="0" w:space="0" w:color="auto"/>
            <w:left w:val="none" w:sz="0" w:space="0" w:color="auto"/>
            <w:bottom w:val="none" w:sz="0" w:space="0" w:color="auto"/>
            <w:right w:val="none" w:sz="0" w:space="0" w:color="auto"/>
          </w:divBdr>
        </w:div>
        <w:div w:id="1151026044">
          <w:marLeft w:val="0"/>
          <w:marRight w:val="0"/>
          <w:marTop w:val="0"/>
          <w:marBottom w:val="0"/>
          <w:divBdr>
            <w:top w:val="none" w:sz="0" w:space="0" w:color="auto"/>
            <w:left w:val="none" w:sz="0" w:space="0" w:color="auto"/>
            <w:bottom w:val="none" w:sz="0" w:space="0" w:color="auto"/>
            <w:right w:val="none" w:sz="0" w:space="0" w:color="auto"/>
          </w:divBdr>
        </w:div>
      </w:divsChild>
    </w:div>
    <w:div w:id="439570466">
      <w:bodyDiv w:val="1"/>
      <w:marLeft w:val="0"/>
      <w:marRight w:val="0"/>
      <w:marTop w:val="0"/>
      <w:marBottom w:val="0"/>
      <w:divBdr>
        <w:top w:val="none" w:sz="0" w:space="0" w:color="auto"/>
        <w:left w:val="none" w:sz="0" w:space="0" w:color="auto"/>
        <w:bottom w:val="none" w:sz="0" w:space="0" w:color="auto"/>
        <w:right w:val="none" w:sz="0" w:space="0" w:color="auto"/>
      </w:divBdr>
      <w:divsChild>
        <w:div w:id="2025787374">
          <w:marLeft w:val="0"/>
          <w:marRight w:val="0"/>
          <w:marTop w:val="0"/>
          <w:marBottom w:val="0"/>
          <w:divBdr>
            <w:top w:val="none" w:sz="0" w:space="0" w:color="auto"/>
            <w:left w:val="none" w:sz="0" w:space="0" w:color="auto"/>
            <w:bottom w:val="none" w:sz="0" w:space="0" w:color="auto"/>
            <w:right w:val="none" w:sz="0" w:space="0" w:color="auto"/>
          </w:divBdr>
        </w:div>
        <w:div w:id="895626460">
          <w:marLeft w:val="0"/>
          <w:marRight w:val="0"/>
          <w:marTop w:val="0"/>
          <w:marBottom w:val="0"/>
          <w:divBdr>
            <w:top w:val="none" w:sz="0" w:space="0" w:color="auto"/>
            <w:left w:val="none" w:sz="0" w:space="0" w:color="auto"/>
            <w:bottom w:val="none" w:sz="0" w:space="0" w:color="auto"/>
            <w:right w:val="none" w:sz="0" w:space="0" w:color="auto"/>
          </w:divBdr>
          <w:divsChild>
            <w:div w:id="725766262">
              <w:marLeft w:val="0"/>
              <w:marRight w:val="0"/>
              <w:marTop w:val="0"/>
              <w:marBottom w:val="0"/>
              <w:divBdr>
                <w:top w:val="none" w:sz="0" w:space="0" w:color="auto"/>
                <w:left w:val="none" w:sz="0" w:space="0" w:color="auto"/>
                <w:bottom w:val="none" w:sz="0" w:space="0" w:color="auto"/>
                <w:right w:val="none" w:sz="0" w:space="0" w:color="auto"/>
              </w:divBdr>
            </w:div>
            <w:div w:id="642319956">
              <w:marLeft w:val="0"/>
              <w:marRight w:val="0"/>
              <w:marTop w:val="0"/>
              <w:marBottom w:val="0"/>
              <w:divBdr>
                <w:top w:val="none" w:sz="0" w:space="0" w:color="auto"/>
                <w:left w:val="none" w:sz="0" w:space="0" w:color="auto"/>
                <w:bottom w:val="none" w:sz="0" w:space="0" w:color="auto"/>
                <w:right w:val="none" w:sz="0" w:space="0" w:color="auto"/>
              </w:divBdr>
            </w:div>
            <w:div w:id="1027102602">
              <w:marLeft w:val="0"/>
              <w:marRight w:val="0"/>
              <w:marTop w:val="0"/>
              <w:marBottom w:val="0"/>
              <w:divBdr>
                <w:top w:val="none" w:sz="0" w:space="0" w:color="auto"/>
                <w:left w:val="none" w:sz="0" w:space="0" w:color="auto"/>
                <w:bottom w:val="none" w:sz="0" w:space="0" w:color="auto"/>
                <w:right w:val="none" w:sz="0" w:space="0" w:color="auto"/>
              </w:divBdr>
            </w:div>
            <w:div w:id="1890140710">
              <w:marLeft w:val="0"/>
              <w:marRight w:val="0"/>
              <w:marTop w:val="0"/>
              <w:marBottom w:val="0"/>
              <w:divBdr>
                <w:top w:val="none" w:sz="0" w:space="0" w:color="auto"/>
                <w:left w:val="none" w:sz="0" w:space="0" w:color="auto"/>
                <w:bottom w:val="none" w:sz="0" w:space="0" w:color="auto"/>
                <w:right w:val="none" w:sz="0" w:space="0" w:color="auto"/>
              </w:divBdr>
            </w:div>
            <w:div w:id="1419249599">
              <w:marLeft w:val="0"/>
              <w:marRight w:val="0"/>
              <w:marTop w:val="0"/>
              <w:marBottom w:val="0"/>
              <w:divBdr>
                <w:top w:val="none" w:sz="0" w:space="0" w:color="auto"/>
                <w:left w:val="none" w:sz="0" w:space="0" w:color="auto"/>
                <w:bottom w:val="none" w:sz="0" w:space="0" w:color="auto"/>
                <w:right w:val="none" w:sz="0" w:space="0" w:color="auto"/>
              </w:divBdr>
            </w:div>
            <w:div w:id="1035153184">
              <w:marLeft w:val="0"/>
              <w:marRight w:val="0"/>
              <w:marTop w:val="0"/>
              <w:marBottom w:val="0"/>
              <w:divBdr>
                <w:top w:val="none" w:sz="0" w:space="0" w:color="auto"/>
                <w:left w:val="none" w:sz="0" w:space="0" w:color="auto"/>
                <w:bottom w:val="none" w:sz="0" w:space="0" w:color="auto"/>
                <w:right w:val="none" w:sz="0" w:space="0" w:color="auto"/>
              </w:divBdr>
            </w:div>
            <w:div w:id="558056362">
              <w:marLeft w:val="0"/>
              <w:marRight w:val="0"/>
              <w:marTop w:val="0"/>
              <w:marBottom w:val="0"/>
              <w:divBdr>
                <w:top w:val="none" w:sz="0" w:space="0" w:color="auto"/>
                <w:left w:val="none" w:sz="0" w:space="0" w:color="auto"/>
                <w:bottom w:val="none" w:sz="0" w:space="0" w:color="auto"/>
                <w:right w:val="none" w:sz="0" w:space="0" w:color="auto"/>
              </w:divBdr>
            </w:div>
            <w:div w:id="2014648458">
              <w:marLeft w:val="0"/>
              <w:marRight w:val="0"/>
              <w:marTop w:val="0"/>
              <w:marBottom w:val="0"/>
              <w:divBdr>
                <w:top w:val="none" w:sz="0" w:space="0" w:color="auto"/>
                <w:left w:val="none" w:sz="0" w:space="0" w:color="auto"/>
                <w:bottom w:val="none" w:sz="0" w:space="0" w:color="auto"/>
                <w:right w:val="none" w:sz="0" w:space="0" w:color="auto"/>
              </w:divBdr>
            </w:div>
            <w:div w:id="1600021153">
              <w:marLeft w:val="0"/>
              <w:marRight w:val="0"/>
              <w:marTop w:val="0"/>
              <w:marBottom w:val="0"/>
              <w:divBdr>
                <w:top w:val="none" w:sz="0" w:space="0" w:color="auto"/>
                <w:left w:val="none" w:sz="0" w:space="0" w:color="auto"/>
                <w:bottom w:val="none" w:sz="0" w:space="0" w:color="auto"/>
                <w:right w:val="none" w:sz="0" w:space="0" w:color="auto"/>
              </w:divBdr>
            </w:div>
            <w:div w:id="78135948">
              <w:marLeft w:val="0"/>
              <w:marRight w:val="0"/>
              <w:marTop w:val="0"/>
              <w:marBottom w:val="0"/>
              <w:divBdr>
                <w:top w:val="none" w:sz="0" w:space="0" w:color="auto"/>
                <w:left w:val="none" w:sz="0" w:space="0" w:color="auto"/>
                <w:bottom w:val="none" w:sz="0" w:space="0" w:color="auto"/>
                <w:right w:val="none" w:sz="0" w:space="0" w:color="auto"/>
              </w:divBdr>
            </w:div>
            <w:div w:id="1997949793">
              <w:marLeft w:val="0"/>
              <w:marRight w:val="0"/>
              <w:marTop w:val="0"/>
              <w:marBottom w:val="0"/>
              <w:divBdr>
                <w:top w:val="none" w:sz="0" w:space="0" w:color="auto"/>
                <w:left w:val="none" w:sz="0" w:space="0" w:color="auto"/>
                <w:bottom w:val="none" w:sz="0" w:space="0" w:color="auto"/>
                <w:right w:val="none" w:sz="0" w:space="0" w:color="auto"/>
              </w:divBdr>
            </w:div>
            <w:div w:id="1847093860">
              <w:marLeft w:val="0"/>
              <w:marRight w:val="0"/>
              <w:marTop w:val="0"/>
              <w:marBottom w:val="0"/>
              <w:divBdr>
                <w:top w:val="none" w:sz="0" w:space="0" w:color="auto"/>
                <w:left w:val="none" w:sz="0" w:space="0" w:color="auto"/>
                <w:bottom w:val="none" w:sz="0" w:space="0" w:color="auto"/>
                <w:right w:val="none" w:sz="0" w:space="0" w:color="auto"/>
              </w:divBdr>
            </w:div>
            <w:div w:id="376856741">
              <w:marLeft w:val="0"/>
              <w:marRight w:val="0"/>
              <w:marTop w:val="0"/>
              <w:marBottom w:val="0"/>
              <w:divBdr>
                <w:top w:val="none" w:sz="0" w:space="0" w:color="auto"/>
                <w:left w:val="none" w:sz="0" w:space="0" w:color="auto"/>
                <w:bottom w:val="none" w:sz="0" w:space="0" w:color="auto"/>
                <w:right w:val="none" w:sz="0" w:space="0" w:color="auto"/>
              </w:divBdr>
            </w:div>
            <w:div w:id="591549244">
              <w:marLeft w:val="0"/>
              <w:marRight w:val="0"/>
              <w:marTop w:val="0"/>
              <w:marBottom w:val="0"/>
              <w:divBdr>
                <w:top w:val="none" w:sz="0" w:space="0" w:color="auto"/>
                <w:left w:val="none" w:sz="0" w:space="0" w:color="auto"/>
                <w:bottom w:val="none" w:sz="0" w:space="0" w:color="auto"/>
                <w:right w:val="none" w:sz="0" w:space="0" w:color="auto"/>
              </w:divBdr>
            </w:div>
            <w:div w:id="580481204">
              <w:marLeft w:val="0"/>
              <w:marRight w:val="0"/>
              <w:marTop w:val="0"/>
              <w:marBottom w:val="0"/>
              <w:divBdr>
                <w:top w:val="none" w:sz="0" w:space="0" w:color="auto"/>
                <w:left w:val="none" w:sz="0" w:space="0" w:color="auto"/>
                <w:bottom w:val="none" w:sz="0" w:space="0" w:color="auto"/>
                <w:right w:val="none" w:sz="0" w:space="0" w:color="auto"/>
              </w:divBdr>
            </w:div>
            <w:div w:id="738602695">
              <w:marLeft w:val="0"/>
              <w:marRight w:val="0"/>
              <w:marTop w:val="0"/>
              <w:marBottom w:val="0"/>
              <w:divBdr>
                <w:top w:val="none" w:sz="0" w:space="0" w:color="auto"/>
                <w:left w:val="none" w:sz="0" w:space="0" w:color="auto"/>
                <w:bottom w:val="none" w:sz="0" w:space="0" w:color="auto"/>
                <w:right w:val="none" w:sz="0" w:space="0" w:color="auto"/>
              </w:divBdr>
            </w:div>
            <w:div w:id="1587300515">
              <w:marLeft w:val="0"/>
              <w:marRight w:val="0"/>
              <w:marTop w:val="0"/>
              <w:marBottom w:val="0"/>
              <w:divBdr>
                <w:top w:val="none" w:sz="0" w:space="0" w:color="auto"/>
                <w:left w:val="none" w:sz="0" w:space="0" w:color="auto"/>
                <w:bottom w:val="none" w:sz="0" w:space="0" w:color="auto"/>
                <w:right w:val="none" w:sz="0" w:space="0" w:color="auto"/>
              </w:divBdr>
            </w:div>
            <w:div w:id="17546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781251">
      <w:bodyDiv w:val="1"/>
      <w:marLeft w:val="0"/>
      <w:marRight w:val="0"/>
      <w:marTop w:val="0"/>
      <w:marBottom w:val="0"/>
      <w:divBdr>
        <w:top w:val="none" w:sz="0" w:space="0" w:color="auto"/>
        <w:left w:val="none" w:sz="0" w:space="0" w:color="auto"/>
        <w:bottom w:val="none" w:sz="0" w:space="0" w:color="auto"/>
        <w:right w:val="none" w:sz="0" w:space="0" w:color="auto"/>
      </w:divBdr>
    </w:div>
    <w:div w:id="775750533">
      <w:bodyDiv w:val="1"/>
      <w:marLeft w:val="0"/>
      <w:marRight w:val="0"/>
      <w:marTop w:val="0"/>
      <w:marBottom w:val="0"/>
      <w:divBdr>
        <w:top w:val="none" w:sz="0" w:space="0" w:color="auto"/>
        <w:left w:val="none" w:sz="0" w:space="0" w:color="auto"/>
        <w:bottom w:val="none" w:sz="0" w:space="0" w:color="auto"/>
        <w:right w:val="none" w:sz="0" w:space="0" w:color="auto"/>
      </w:divBdr>
    </w:div>
    <w:div w:id="797991828">
      <w:bodyDiv w:val="1"/>
      <w:marLeft w:val="0"/>
      <w:marRight w:val="0"/>
      <w:marTop w:val="0"/>
      <w:marBottom w:val="0"/>
      <w:divBdr>
        <w:top w:val="none" w:sz="0" w:space="0" w:color="auto"/>
        <w:left w:val="none" w:sz="0" w:space="0" w:color="auto"/>
        <w:bottom w:val="none" w:sz="0" w:space="0" w:color="auto"/>
        <w:right w:val="none" w:sz="0" w:space="0" w:color="auto"/>
      </w:divBdr>
      <w:divsChild>
        <w:div w:id="928390086">
          <w:marLeft w:val="0"/>
          <w:marRight w:val="0"/>
          <w:marTop w:val="0"/>
          <w:marBottom w:val="0"/>
          <w:divBdr>
            <w:top w:val="none" w:sz="0" w:space="0" w:color="auto"/>
            <w:left w:val="none" w:sz="0" w:space="0" w:color="auto"/>
            <w:bottom w:val="none" w:sz="0" w:space="0" w:color="auto"/>
            <w:right w:val="none" w:sz="0" w:space="0" w:color="auto"/>
          </w:divBdr>
        </w:div>
        <w:div w:id="146744879">
          <w:marLeft w:val="0"/>
          <w:marRight w:val="0"/>
          <w:marTop w:val="0"/>
          <w:marBottom w:val="0"/>
          <w:divBdr>
            <w:top w:val="none" w:sz="0" w:space="0" w:color="auto"/>
            <w:left w:val="none" w:sz="0" w:space="0" w:color="auto"/>
            <w:bottom w:val="none" w:sz="0" w:space="0" w:color="auto"/>
            <w:right w:val="none" w:sz="0" w:space="0" w:color="auto"/>
          </w:divBdr>
        </w:div>
        <w:div w:id="1942684527">
          <w:marLeft w:val="0"/>
          <w:marRight w:val="0"/>
          <w:marTop w:val="0"/>
          <w:marBottom w:val="0"/>
          <w:divBdr>
            <w:top w:val="none" w:sz="0" w:space="0" w:color="auto"/>
            <w:left w:val="none" w:sz="0" w:space="0" w:color="auto"/>
            <w:bottom w:val="none" w:sz="0" w:space="0" w:color="auto"/>
            <w:right w:val="none" w:sz="0" w:space="0" w:color="auto"/>
          </w:divBdr>
        </w:div>
        <w:div w:id="1115900617">
          <w:marLeft w:val="0"/>
          <w:marRight w:val="0"/>
          <w:marTop w:val="0"/>
          <w:marBottom w:val="0"/>
          <w:divBdr>
            <w:top w:val="none" w:sz="0" w:space="0" w:color="auto"/>
            <w:left w:val="none" w:sz="0" w:space="0" w:color="auto"/>
            <w:bottom w:val="none" w:sz="0" w:space="0" w:color="auto"/>
            <w:right w:val="none" w:sz="0" w:space="0" w:color="auto"/>
          </w:divBdr>
        </w:div>
        <w:div w:id="427892141">
          <w:marLeft w:val="0"/>
          <w:marRight w:val="0"/>
          <w:marTop w:val="0"/>
          <w:marBottom w:val="0"/>
          <w:divBdr>
            <w:top w:val="none" w:sz="0" w:space="0" w:color="auto"/>
            <w:left w:val="none" w:sz="0" w:space="0" w:color="auto"/>
            <w:bottom w:val="none" w:sz="0" w:space="0" w:color="auto"/>
            <w:right w:val="none" w:sz="0" w:space="0" w:color="auto"/>
          </w:divBdr>
        </w:div>
        <w:div w:id="2094886349">
          <w:marLeft w:val="0"/>
          <w:marRight w:val="0"/>
          <w:marTop w:val="0"/>
          <w:marBottom w:val="0"/>
          <w:divBdr>
            <w:top w:val="none" w:sz="0" w:space="0" w:color="auto"/>
            <w:left w:val="none" w:sz="0" w:space="0" w:color="auto"/>
            <w:bottom w:val="none" w:sz="0" w:space="0" w:color="auto"/>
            <w:right w:val="none" w:sz="0" w:space="0" w:color="auto"/>
          </w:divBdr>
        </w:div>
        <w:div w:id="1931574894">
          <w:marLeft w:val="0"/>
          <w:marRight w:val="0"/>
          <w:marTop w:val="0"/>
          <w:marBottom w:val="0"/>
          <w:divBdr>
            <w:top w:val="none" w:sz="0" w:space="0" w:color="auto"/>
            <w:left w:val="none" w:sz="0" w:space="0" w:color="auto"/>
            <w:bottom w:val="none" w:sz="0" w:space="0" w:color="auto"/>
            <w:right w:val="none" w:sz="0" w:space="0" w:color="auto"/>
          </w:divBdr>
        </w:div>
        <w:div w:id="1913001979">
          <w:marLeft w:val="0"/>
          <w:marRight w:val="0"/>
          <w:marTop w:val="0"/>
          <w:marBottom w:val="0"/>
          <w:divBdr>
            <w:top w:val="none" w:sz="0" w:space="0" w:color="auto"/>
            <w:left w:val="none" w:sz="0" w:space="0" w:color="auto"/>
            <w:bottom w:val="none" w:sz="0" w:space="0" w:color="auto"/>
            <w:right w:val="none" w:sz="0" w:space="0" w:color="auto"/>
          </w:divBdr>
        </w:div>
        <w:div w:id="304047018">
          <w:marLeft w:val="0"/>
          <w:marRight w:val="0"/>
          <w:marTop w:val="0"/>
          <w:marBottom w:val="0"/>
          <w:divBdr>
            <w:top w:val="none" w:sz="0" w:space="0" w:color="auto"/>
            <w:left w:val="none" w:sz="0" w:space="0" w:color="auto"/>
            <w:bottom w:val="none" w:sz="0" w:space="0" w:color="auto"/>
            <w:right w:val="none" w:sz="0" w:space="0" w:color="auto"/>
          </w:divBdr>
        </w:div>
        <w:div w:id="121534858">
          <w:marLeft w:val="0"/>
          <w:marRight w:val="0"/>
          <w:marTop w:val="0"/>
          <w:marBottom w:val="0"/>
          <w:divBdr>
            <w:top w:val="none" w:sz="0" w:space="0" w:color="auto"/>
            <w:left w:val="none" w:sz="0" w:space="0" w:color="auto"/>
            <w:bottom w:val="none" w:sz="0" w:space="0" w:color="auto"/>
            <w:right w:val="none" w:sz="0" w:space="0" w:color="auto"/>
          </w:divBdr>
        </w:div>
        <w:div w:id="1138496292">
          <w:marLeft w:val="0"/>
          <w:marRight w:val="0"/>
          <w:marTop w:val="0"/>
          <w:marBottom w:val="0"/>
          <w:divBdr>
            <w:top w:val="none" w:sz="0" w:space="0" w:color="auto"/>
            <w:left w:val="none" w:sz="0" w:space="0" w:color="auto"/>
            <w:bottom w:val="none" w:sz="0" w:space="0" w:color="auto"/>
            <w:right w:val="none" w:sz="0" w:space="0" w:color="auto"/>
          </w:divBdr>
        </w:div>
        <w:div w:id="1659262065">
          <w:marLeft w:val="0"/>
          <w:marRight w:val="0"/>
          <w:marTop w:val="0"/>
          <w:marBottom w:val="0"/>
          <w:divBdr>
            <w:top w:val="none" w:sz="0" w:space="0" w:color="auto"/>
            <w:left w:val="none" w:sz="0" w:space="0" w:color="auto"/>
            <w:bottom w:val="none" w:sz="0" w:space="0" w:color="auto"/>
            <w:right w:val="none" w:sz="0" w:space="0" w:color="auto"/>
          </w:divBdr>
        </w:div>
        <w:div w:id="364333053">
          <w:marLeft w:val="0"/>
          <w:marRight w:val="0"/>
          <w:marTop w:val="0"/>
          <w:marBottom w:val="0"/>
          <w:divBdr>
            <w:top w:val="none" w:sz="0" w:space="0" w:color="auto"/>
            <w:left w:val="none" w:sz="0" w:space="0" w:color="auto"/>
            <w:bottom w:val="none" w:sz="0" w:space="0" w:color="auto"/>
            <w:right w:val="none" w:sz="0" w:space="0" w:color="auto"/>
          </w:divBdr>
        </w:div>
        <w:div w:id="1410807618">
          <w:marLeft w:val="0"/>
          <w:marRight w:val="0"/>
          <w:marTop w:val="0"/>
          <w:marBottom w:val="0"/>
          <w:divBdr>
            <w:top w:val="none" w:sz="0" w:space="0" w:color="auto"/>
            <w:left w:val="none" w:sz="0" w:space="0" w:color="auto"/>
            <w:bottom w:val="none" w:sz="0" w:space="0" w:color="auto"/>
            <w:right w:val="none" w:sz="0" w:space="0" w:color="auto"/>
          </w:divBdr>
        </w:div>
        <w:div w:id="1394737">
          <w:marLeft w:val="0"/>
          <w:marRight w:val="0"/>
          <w:marTop w:val="0"/>
          <w:marBottom w:val="0"/>
          <w:divBdr>
            <w:top w:val="none" w:sz="0" w:space="0" w:color="auto"/>
            <w:left w:val="none" w:sz="0" w:space="0" w:color="auto"/>
            <w:bottom w:val="none" w:sz="0" w:space="0" w:color="auto"/>
            <w:right w:val="none" w:sz="0" w:space="0" w:color="auto"/>
          </w:divBdr>
        </w:div>
        <w:div w:id="680350696">
          <w:marLeft w:val="0"/>
          <w:marRight w:val="0"/>
          <w:marTop w:val="0"/>
          <w:marBottom w:val="0"/>
          <w:divBdr>
            <w:top w:val="none" w:sz="0" w:space="0" w:color="auto"/>
            <w:left w:val="none" w:sz="0" w:space="0" w:color="auto"/>
            <w:bottom w:val="none" w:sz="0" w:space="0" w:color="auto"/>
            <w:right w:val="none" w:sz="0" w:space="0" w:color="auto"/>
          </w:divBdr>
        </w:div>
        <w:div w:id="120539577">
          <w:marLeft w:val="0"/>
          <w:marRight w:val="0"/>
          <w:marTop w:val="0"/>
          <w:marBottom w:val="0"/>
          <w:divBdr>
            <w:top w:val="none" w:sz="0" w:space="0" w:color="auto"/>
            <w:left w:val="none" w:sz="0" w:space="0" w:color="auto"/>
            <w:bottom w:val="none" w:sz="0" w:space="0" w:color="auto"/>
            <w:right w:val="none" w:sz="0" w:space="0" w:color="auto"/>
          </w:divBdr>
        </w:div>
        <w:div w:id="1253585877">
          <w:marLeft w:val="0"/>
          <w:marRight w:val="0"/>
          <w:marTop w:val="0"/>
          <w:marBottom w:val="0"/>
          <w:divBdr>
            <w:top w:val="none" w:sz="0" w:space="0" w:color="auto"/>
            <w:left w:val="none" w:sz="0" w:space="0" w:color="auto"/>
            <w:bottom w:val="none" w:sz="0" w:space="0" w:color="auto"/>
            <w:right w:val="none" w:sz="0" w:space="0" w:color="auto"/>
          </w:divBdr>
        </w:div>
        <w:div w:id="2133553599">
          <w:marLeft w:val="0"/>
          <w:marRight w:val="0"/>
          <w:marTop w:val="0"/>
          <w:marBottom w:val="0"/>
          <w:divBdr>
            <w:top w:val="none" w:sz="0" w:space="0" w:color="auto"/>
            <w:left w:val="none" w:sz="0" w:space="0" w:color="auto"/>
            <w:bottom w:val="none" w:sz="0" w:space="0" w:color="auto"/>
            <w:right w:val="none" w:sz="0" w:space="0" w:color="auto"/>
          </w:divBdr>
        </w:div>
        <w:div w:id="1667516918">
          <w:marLeft w:val="0"/>
          <w:marRight w:val="0"/>
          <w:marTop w:val="0"/>
          <w:marBottom w:val="0"/>
          <w:divBdr>
            <w:top w:val="none" w:sz="0" w:space="0" w:color="auto"/>
            <w:left w:val="none" w:sz="0" w:space="0" w:color="auto"/>
            <w:bottom w:val="none" w:sz="0" w:space="0" w:color="auto"/>
            <w:right w:val="none" w:sz="0" w:space="0" w:color="auto"/>
          </w:divBdr>
        </w:div>
        <w:div w:id="2065595675">
          <w:marLeft w:val="0"/>
          <w:marRight w:val="0"/>
          <w:marTop w:val="0"/>
          <w:marBottom w:val="0"/>
          <w:divBdr>
            <w:top w:val="none" w:sz="0" w:space="0" w:color="auto"/>
            <w:left w:val="none" w:sz="0" w:space="0" w:color="auto"/>
            <w:bottom w:val="none" w:sz="0" w:space="0" w:color="auto"/>
            <w:right w:val="none" w:sz="0" w:space="0" w:color="auto"/>
          </w:divBdr>
        </w:div>
        <w:div w:id="484856919">
          <w:marLeft w:val="0"/>
          <w:marRight w:val="0"/>
          <w:marTop w:val="0"/>
          <w:marBottom w:val="0"/>
          <w:divBdr>
            <w:top w:val="none" w:sz="0" w:space="0" w:color="auto"/>
            <w:left w:val="none" w:sz="0" w:space="0" w:color="auto"/>
            <w:bottom w:val="none" w:sz="0" w:space="0" w:color="auto"/>
            <w:right w:val="none" w:sz="0" w:space="0" w:color="auto"/>
          </w:divBdr>
        </w:div>
        <w:div w:id="731467680">
          <w:marLeft w:val="0"/>
          <w:marRight w:val="0"/>
          <w:marTop w:val="0"/>
          <w:marBottom w:val="0"/>
          <w:divBdr>
            <w:top w:val="none" w:sz="0" w:space="0" w:color="auto"/>
            <w:left w:val="none" w:sz="0" w:space="0" w:color="auto"/>
            <w:bottom w:val="none" w:sz="0" w:space="0" w:color="auto"/>
            <w:right w:val="none" w:sz="0" w:space="0" w:color="auto"/>
          </w:divBdr>
        </w:div>
        <w:div w:id="1226532576">
          <w:marLeft w:val="0"/>
          <w:marRight w:val="0"/>
          <w:marTop w:val="0"/>
          <w:marBottom w:val="0"/>
          <w:divBdr>
            <w:top w:val="none" w:sz="0" w:space="0" w:color="auto"/>
            <w:left w:val="none" w:sz="0" w:space="0" w:color="auto"/>
            <w:bottom w:val="none" w:sz="0" w:space="0" w:color="auto"/>
            <w:right w:val="none" w:sz="0" w:space="0" w:color="auto"/>
          </w:divBdr>
        </w:div>
        <w:div w:id="1415787182">
          <w:marLeft w:val="0"/>
          <w:marRight w:val="0"/>
          <w:marTop w:val="0"/>
          <w:marBottom w:val="0"/>
          <w:divBdr>
            <w:top w:val="none" w:sz="0" w:space="0" w:color="auto"/>
            <w:left w:val="none" w:sz="0" w:space="0" w:color="auto"/>
            <w:bottom w:val="none" w:sz="0" w:space="0" w:color="auto"/>
            <w:right w:val="none" w:sz="0" w:space="0" w:color="auto"/>
          </w:divBdr>
        </w:div>
        <w:div w:id="1544320269">
          <w:marLeft w:val="0"/>
          <w:marRight w:val="0"/>
          <w:marTop w:val="0"/>
          <w:marBottom w:val="0"/>
          <w:divBdr>
            <w:top w:val="none" w:sz="0" w:space="0" w:color="auto"/>
            <w:left w:val="none" w:sz="0" w:space="0" w:color="auto"/>
            <w:bottom w:val="none" w:sz="0" w:space="0" w:color="auto"/>
            <w:right w:val="none" w:sz="0" w:space="0" w:color="auto"/>
          </w:divBdr>
        </w:div>
      </w:divsChild>
    </w:div>
    <w:div w:id="961110631">
      <w:bodyDiv w:val="1"/>
      <w:marLeft w:val="0"/>
      <w:marRight w:val="0"/>
      <w:marTop w:val="0"/>
      <w:marBottom w:val="0"/>
      <w:divBdr>
        <w:top w:val="none" w:sz="0" w:space="0" w:color="auto"/>
        <w:left w:val="none" w:sz="0" w:space="0" w:color="auto"/>
        <w:bottom w:val="none" w:sz="0" w:space="0" w:color="auto"/>
        <w:right w:val="none" w:sz="0" w:space="0" w:color="auto"/>
      </w:divBdr>
    </w:div>
    <w:div w:id="966621173">
      <w:bodyDiv w:val="1"/>
      <w:marLeft w:val="0"/>
      <w:marRight w:val="0"/>
      <w:marTop w:val="0"/>
      <w:marBottom w:val="0"/>
      <w:divBdr>
        <w:top w:val="none" w:sz="0" w:space="0" w:color="auto"/>
        <w:left w:val="none" w:sz="0" w:space="0" w:color="auto"/>
        <w:bottom w:val="none" w:sz="0" w:space="0" w:color="auto"/>
        <w:right w:val="none" w:sz="0" w:space="0" w:color="auto"/>
      </w:divBdr>
      <w:divsChild>
        <w:div w:id="1532717526">
          <w:marLeft w:val="0"/>
          <w:marRight w:val="0"/>
          <w:marTop w:val="0"/>
          <w:marBottom w:val="0"/>
          <w:divBdr>
            <w:top w:val="none" w:sz="0" w:space="0" w:color="auto"/>
            <w:left w:val="none" w:sz="0" w:space="0" w:color="auto"/>
            <w:bottom w:val="none" w:sz="0" w:space="0" w:color="auto"/>
            <w:right w:val="none" w:sz="0" w:space="0" w:color="auto"/>
          </w:divBdr>
        </w:div>
        <w:div w:id="1834637362">
          <w:marLeft w:val="0"/>
          <w:marRight w:val="0"/>
          <w:marTop w:val="0"/>
          <w:marBottom w:val="0"/>
          <w:divBdr>
            <w:top w:val="none" w:sz="0" w:space="0" w:color="auto"/>
            <w:left w:val="none" w:sz="0" w:space="0" w:color="auto"/>
            <w:bottom w:val="none" w:sz="0" w:space="0" w:color="auto"/>
            <w:right w:val="none" w:sz="0" w:space="0" w:color="auto"/>
          </w:divBdr>
        </w:div>
        <w:div w:id="90011256">
          <w:marLeft w:val="0"/>
          <w:marRight w:val="0"/>
          <w:marTop w:val="0"/>
          <w:marBottom w:val="0"/>
          <w:divBdr>
            <w:top w:val="none" w:sz="0" w:space="0" w:color="auto"/>
            <w:left w:val="none" w:sz="0" w:space="0" w:color="auto"/>
            <w:bottom w:val="none" w:sz="0" w:space="0" w:color="auto"/>
            <w:right w:val="none" w:sz="0" w:space="0" w:color="auto"/>
          </w:divBdr>
        </w:div>
        <w:div w:id="185564100">
          <w:marLeft w:val="0"/>
          <w:marRight w:val="0"/>
          <w:marTop w:val="0"/>
          <w:marBottom w:val="0"/>
          <w:divBdr>
            <w:top w:val="none" w:sz="0" w:space="0" w:color="auto"/>
            <w:left w:val="none" w:sz="0" w:space="0" w:color="auto"/>
            <w:bottom w:val="none" w:sz="0" w:space="0" w:color="auto"/>
            <w:right w:val="none" w:sz="0" w:space="0" w:color="auto"/>
          </w:divBdr>
        </w:div>
        <w:div w:id="1052730740">
          <w:marLeft w:val="0"/>
          <w:marRight w:val="0"/>
          <w:marTop w:val="0"/>
          <w:marBottom w:val="0"/>
          <w:divBdr>
            <w:top w:val="none" w:sz="0" w:space="0" w:color="auto"/>
            <w:left w:val="none" w:sz="0" w:space="0" w:color="auto"/>
            <w:bottom w:val="none" w:sz="0" w:space="0" w:color="auto"/>
            <w:right w:val="none" w:sz="0" w:space="0" w:color="auto"/>
          </w:divBdr>
        </w:div>
        <w:div w:id="708186582">
          <w:marLeft w:val="0"/>
          <w:marRight w:val="0"/>
          <w:marTop w:val="0"/>
          <w:marBottom w:val="0"/>
          <w:divBdr>
            <w:top w:val="none" w:sz="0" w:space="0" w:color="auto"/>
            <w:left w:val="none" w:sz="0" w:space="0" w:color="auto"/>
            <w:bottom w:val="none" w:sz="0" w:space="0" w:color="auto"/>
            <w:right w:val="none" w:sz="0" w:space="0" w:color="auto"/>
          </w:divBdr>
        </w:div>
        <w:div w:id="1001160444">
          <w:marLeft w:val="0"/>
          <w:marRight w:val="0"/>
          <w:marTop w:val="0"/>
          <w:marBottom w:val="0"/>
          <w:divBdr>
            <w:top w:val="none" w:sz="0" w:space="0" w:color="auto"/>
            <w:left w:val="none" w:sz="0" w:space="0" w:color="auto"/>
            <w:bottom w:val="none" w:sz="0" w:space="0" w:color="auto"/>
            <w:right w:val="none" w:sz="0" w:space="0" w:color="auto"/>
          </w:divBdr>
        </w:div>
      </w:divsChild>
    </w:div>
    <w:div w:id="1018198502">
      <w:bodyDiv w:val="1"/>
      <w:marLeft w:val="0"/>
      <w:marRight w:val="0"/>
      <w:marTop w:val="0"/>
      <w:marBottom w:val="0"/>
      <w:divBdr>
        <w:top w:val="none" w:sz="0" w:space="0" w:color="auto"/>
        <w:left w:val="none" w:sz="0" w:space="0" w:color="auto"/>
        <w:bottom w:val="none" w:sz="0" w:space="0" w:color="auto"/>
        <w:right w:val="none" w:sz="0" w:space="0" w:color="auto"/>
      </w:divBdr>
      <w:divsChild>
        <w:div w:id="1925333050">
          <w:marLeft w:val="0"/>
          <w:marRight w:val="0"/>
          <w:marTop w:val="0"/>
          <w:marBottom w:val="0"/>
          <w:divBdr>
            <w:top w:val="none" w:sz="0" w:space="0" w:color="auto"/>
            <w:left w:val="none" w:sz="0" w:space="0" w:color="auto"/>
            <w:bottom w:val="none" w:sz="0" w:space="0" w:color="auto"/>
            <w:right w:val="none" w:sz="0" w:space="0" w:color="auto"/>
          </w:divBdr>
        </w:div>
        <w:div w:id="259604731">
          <w:marLeft w:val="0"/>
          <w:marRight w:val="0"/>
          <w:marTop w:val="0"/>
          <w:marBottom w:val="0"/>
          <w:divBdr>
            <w:top w:val="none" w:sz="0" w:space="0" w:color="auto"/>
            <w:left w:val="none" w:sz="0" w:space="0" w:color="auto"/>
            <w:bottom w:val="none" w:sz="0" w:space="0" w:color="auto"/>
            <w:right w:val="none" w:sz="0" w:space="0" w:color="auto"/>
          </w:divBdr>
        </w:div>
        <w:div w:id="1981887300">
          <w:marLeft w:val="0"/>
          <w:marRight w:val="0"/>
          <w:marTop w:val="0"/>
          <w:marBottom w:val="0"/>
          <w:divBdr>
            <w:top w:val="none" w:sz="0" w:space="0" w:color="auto"/>
            <w:left w:val="none" w:sz="0" w:space="0" w:color="auto"/>
            <w:bottom w:val="none" w:sz="0" w:space="0" w:color="auto"/>
            <w:right w:val="none" w:sz="0" w:space="0" w:color="auto"/>
          </w:divBdr>
        </w:div>
      </w:divsChild>
    </w:div>
    <w:div w:id="1044258656">
      <w:bodyDiv w:val="1"/>
      <w:marLeft w:val="0"/>
      <w:marRight w:val="0"/>
      <w:marTop w:val="0"/>
      <w:marBottom w:val="0"/>
      <w:divBdr>
        <w:top w:val="none" w:sz="0" w:space="0" w:color="auto"/>
        <w:left w:val="none" w:sz="0" w:space="0" w:color="auto"/>
        <w:bottom w:val="none" w:sz="0" w:space="0" w:color="auto"/>
        <w:right w:val="none" w:sz="0" w:space="0" w:color="auto"/>
      </w:divBdr>
    </w:div>
    <w:div w:id="1164472516">
      <w:bodyDiv w:val="1"/>
      <w:marLeft w:val="0"/>
      <w:marRight w:val="0"/>
      <w:marTop w:val="0"/>
      <w:marBottom w:val="0"/>
      <w:divBdr>
        <w:top w:val="none" w:sz="0" w:space="0" w:color="auto"/>
        <w:left w:val="none" w:sz="0" w:space="0" w:color="auto"/>
        <w:bottom w:val="none" w:sz="0" w:space="0" w:color="auto"/>
        <w:right w:val="none" w:sz="0" w:space="0" w:color="auto"/>
      </w:divBdr>
      <w:divsChild>
        <w:div w:id="1242563338">
          <w:marLeft w:val="0"/>
          <w:marRight w:val="0"/>
          <w:marTop w:val="0"/>
          <w:marBottom w:val="0"/>
          <w:divBdr>
            <w:top w:val="none" w:sz="0" w:space="0" w:color="auto"/>
            <w:left w:val="none" w:sz="0" w:space="0" w:color="auto"/>
            <w:bottom w:val="none" w:sz="0" w:space="0" w:color="auto"/>
            <w:right w:val="none" w:sz="0" w:space="0" w:color="auto"/>
          </w:divBdr>
        </w:div>
        <w:div w:id="240989714">
          <w:marLeft w:val="0"/>
          <w:marRight w:val="0"/>
          <w:marTop w:val="0"/>
          <w:marBottom w:val="0"/>
          <w:divBdr>
            <w:top w:val="none" w:sz="0" w:space="0" w:color="auto"/>
            <w:left w:val="none" w:sz="0" w:space="0" w:color="auto"/>
            <w:bottom w:val="none" w:sz="0" w:space="0" w:color="auto"/>
            <w:right w:val="none" w:sz="0" w:space="0" w:color="auto"/>
          </w:divBdr>
        </w:div>
        <w:div w:id="1552227211">
          <w:marLeft w:val="0"/>
          <w:marRight w:val="0"/>
          <w:marTop w:val="0"/>
          <w:marBottom w:val="0"/>
          <w:divBdr>
            <w:top w:val="none" w:sz="0" w:space="0" w:color="auto"/>
            <w:left w:val="none" w:sz="0" w:space="0" w:color="auto"/>
            <w:bottom w:val="none" w:sz="0" w:space="0" w:color="auto"/>
            <w:right w:val="none" w:sz="0" w:space="0" w:color="auto"/>
          </w:divBdr>
        </w:div>
        <w:div w:id="830681550">
          <w:marLeft w:val="0"/>
          <w:marRight w:val="0"/>
          <w:marTop w:val="0"/>
          <w:marBottom w:val="0"/>
          <w:divBdr>
            <w:top w:val="none" w:sz="0" w:space="0" w:color="auto"/>
            <w:left w:val="none" w:sz="0" w:space="0" w:color="auto"/>
            <w:bottom w:val="none" w:sz="0" w:space="0" w:color="auto"/>
            <w:right w:val="none" w:sz="0" w:space="0" w:color="auto"/>
          </w:divBdr>
        </w:div>
        <w:div w:id="1238907346">
          <w:marLeft w:val="0"/>
          <w:marRight w:val="0"/>
          <w:marTop w:val="0"/>
          <w:marBottom w:val="0"/>
          <w:divBdr>
            <w:top w:val="none" w:sz="0" w:space="0" w:color="auto"/>
            <w:left w:val="none" w:sz="0" w:space="0" w:color="auto"/>
            <w:bottom w:val="none" w:sz="0" w:space="0" w:color="auto"/>
            <w:right w:val="none" w:sz="0" w:space="0" w:color="auto"/>
          </w:divBdr>
        </w:div>
        <w:div w:id="1047222498">
          <w:marLeft w:val="0"/>
          <w:marRight w:val="0"/>
          <w:marTop w:val="0"/>
          <w:marBottom w:val="0"/>
          <w:divBdr>
            <w:top w:val="none" w:sz="0" w:space="0" w:color="auto"/>
            <w:left w:val="none" w:sz="0" w:space="0" w:color="auto"/>
            <w:bottom w:val="none" w:sz="0" w:space="0" w:color="auto"/>
            <w:right w:val="none" w:sz="0" w:space="0" w:color="auto"/>
          </w:divBdr>
        </w:div>
        <w:div w:id="171190118">
          <w:marLeft w:val="0"/>
          <w:marRight w:val="0"/>
          <w:marTop w:val="0"/>
          <w:marBottom w:val="0"/>
          <w:divBdr>
            <w:top w:val="none" w:sz="0" w:space="0" w:color="auto"/>
            <w:left w:val="none" w:sz="0" w:space="0" w:color="auto"/>
            <w:bottom w:val="none" w:sz="0" w:space="0" w:color="auto"/>
            <w:right w:val="none" w:sz="0" w:space="0" w:color="auto"/>
          </w:divBdr>
        </w:div>
        <w:div w:id="423692577">
          <w:marLeft w:val="0"/>
          <w:marRight w:val="0"/>
          <w:marTop w:val="0"/>
          <w:marBottom w:val="0"/>
          <w:divBdr>
            <w:top w:val="none" w:sz="0" w:space="0" w:color="auto"/>
            <w:left w:val="none" w:sz="0" w:space="0" w:color="auto"/>
            <w:bottom w:val="none" w:sz="0" w:space="0" w:color="auto"/>
            <w:right w:val="none" w:sz="0" w:space="0" w:color="auto"/>
          </w:divBdr>
        </w:div>
        <w:div w:id="1290357933">
          <w:marLeft w:val="0"/>
          <w:marRight w:val="0"/>
          <w:marTop w:val="0"/>
          <w:marBottom w:val="0"/>
          <w:divBdr>
            <w:top w:val="none" w:sz="0" w:space="0" w:color="auto"/>
            <w:left w:val="none" w:sz="0" w:space="0" w:color="auto"/>
            <w:bottom w:val="none" w:sz="0" w:space="0" w:color="auto"/>
            <w:right w:val="none" w:sz="0" w:space="0" w:color="auto"/>
          </w:divBdr>
        </w:div>
        <w:div w:id="786311323">
          <w:marLeft w:val="0"/>
          <w:marRight w:val="0"/>
          <w:marTop w:val="0"/>
          <w:marBottom w:val="0"/>
          <w:divBdr>
            <w:top w:val="none" w:sz="0" w:space="0" w:color="auto"/>
            <w:left w:val="none" w:sz="0" w:space="0" w:color="auto"/>
            <w:bottom w:val="none" w:sz="0" w:space="0" w:color="auto"/>
            <w:right w:val="none" w:sz="0" w:space="0" w:color="auto"/>
          </w:divBdr>
        </w:div>
        <w:div w:id="1754431284">
          <w:marLeft w:val="0"/>
          <w:marRight w:val="0"/>
          <w:marTop w:val="0"/>
          <w:marBottom w:val="0"/>
          <w:divBdr>
            <w:top w:val="none" w:sz="0" w:space="0" w:color="auto"/>
            <w:left w:val="none" w:sz="0" w:space="0" w:color="auto"/>
            <w:bottom w:val="none" w:sz="0" w:space="0" w:color="auto"/>
            <w:right w:val="none" w:sz="0" w:space="0" w:color="auto"/>
          </w:divBdr>
        </w:div>
        <w:div w:id="292715000">
          <w:marLeft w:val="0"/>
          <w:marRight w:val="0"/>
          <w:marTop w:val="0"/>
          <w:marBottom w:val="0"/>
          <w:divBdr>
            <w:top w:val="none" w:sz="0" w:space="0" w:color="auto"/>
            <w:left w:val="none" w:sz="0" w:space="0" w:color="auto"/>
            <w:bottom w:val="none" w:sz="0" w:space="0" w:color="auto"/>
            <w:right w:val="none" w:sz="0" w:space="0" w:color="auto"/>
          </w:divBdr>
        </w:div>
        <w:div w:id="1274241049">
          <w:marLeft w:val="0"/>
          <w:marRight w:val="0"/>
          <w:marTop w:val="0"/>
          <w:marBottom w:val="0"/>
          <w:divBdr>
            <w:top w:val="none" w:sz="0" w:space="0" w:color="auto"/>
            <w:left w:val="none" w:sz="0" w:space="0" w:color="auto"/>
            <w:bottom w:val="none" w:sz="0" w:space="0" w:color="auto"/>
            <w:right w:val="none" w:sz="0" w:space="0" w:color="auto"/>
          </w:divBdr>
        </w:div>
        <w:div w:id="1234270744">
          <w:marLeft w:val="0"/>
          <w:marRight w:val="0"/>
          <w:marTop w:val="0"/>
          <w:marBottom w:val="0"/>
          <w:divBdr>
            <w:top w:val="none" w:sz="0" w:space="0" w:color="auto"/>
            <w:left w:val="none" w:sz="0" w:space="0" w:color="auto"/>
            <w:bottom w:val="none" w:sz="0" w:space="0" w:color="auto"/>
            <w:right w:val="none" w:sz="0" w:space="0" w:color="auto"/>
          </w:divBdr>
        </w:div>
        <w:div w:id="366492912">
          <w:marLeft w:val="0"/>
          <w:marRight w:val="0"/>
          <w:marTop w:val="0"/>
          <w:marBottom w:val="0"/>
          <w:divBdr>
            <w:top w:val="none" w:sz="0" w:space="0" w:color="auto"/>
            <w:left w:val="none" w:sz="0" w:space="0" w:color="auto"/>
            <w:bottom w:val="none" w:sz="0" w:space="0" w:color="auto"/>
            <w:right w:val="none" w:sz="0" w:space="0" w:color="auto"/>
          </w:divBdr>
        </w:div>
        <w:div w:id="1560825221">
          <w:marLeft w:val="0"/>
          <w:marRight w:val="0"/>
          <w:marTop w:val="0"/>
          <w:marBottom w:val="0"/>
          <w:divBdr>
            <w:top w:val="none" w:sz="0" w:space="0" w:color="auto"/>
            <w:left w:val="none" w:sz="0" w:space="0" w:color="auto"/>
            <w:bottom w:val="none" w:sz="0" w:space="0" w:color="auto"/>
            <w:right w:val="none" w:sz="0" w:space="0" w:color="auto"/>
          </w:divBdr>
        </w:div>
        <w:div w:id="1939756393">
          <w:marLeft w:val="0"/>
          <w:marRight w:val="0"/>
          <w:marTop w:val="0"/>
          <w:marBottom w:val="0"/>
          <w:divBdr>
            <w:top w:val="none" w:sz="0" w:space="0" w:color="auto"/>
            <w:left w:val="none" w:sz="0" w:space="0" w:color="auto"/>
            <w:bottom w:val="none" w:sz="0" w:space="0" w:color="auto"/>
            <w:right w:val="none" w:sz="0" w:space="0" w:color="auto"/>
          </w:divBdr>
        </w:div>
        <w:div w:id="1749495301">
          <w:marLeft w:val="0"/>
          <w:marRight w:val="0"/>
          <w:marTop w:val="0"/>
          <w:marBottom w:val="0"/>
          <w:divBdr>
            <w:top w:val="none" w:sz="0" w:space="0" w:color="auto"/>
            <w:left w:val="none" w:sz="0" w:space="0" w:color="auto"/>
            <w:bottom w:val="none" w:sz="0" w:space="0" w:color="auto"/>
            <w:right w:val="none" w:sz="0" w:space="0" w:color="auto"/>
          </w:divBdr>
        </w:div>
        <w:div w:id="4868356">
          <w:marLeft w:val="0"/>
          <w:marRight w:val="0"/>
          <w:marTop w:val="0"/>
          <w:marBottom w:val="0"/>
          <w:divBdr>
            <w:top w:val="none" w:sz="0" w:space="0" w:color="auto"/>
            <w:left w:val="none" w:sz="0" w:space="0" w:color="auto"/>
            <w:bottom w:val="none" w:sz="0" w:space="0" w:color="auto"/>
            <w:right w:val="none" w:sz="0" w:space="0" w:color="auto"/>
          </w:divBdr>
        </w:div>
        <w:div w:id="501624554">
          <w:marLeft w:val="0"/>
          <w:marRight w:val="0"/>
          <w:marTop w:val="0"/>
          <w:marBottom w:val="0"/>
          <w:divBdr>
            <w:top w:val="none" w:sz="0" w:space="0" w:color="auto"/>
            <w:left w:val="none" w:sz="0" w:space="0" w:color="auto"/>
            <w:bottom w:val="none" w:sz="0" w:space="0" w:color="auto"/>
            <w:right w:val="none" w:sz="0" w:space="0" w:color="auto"/>
          </w:divBdr>
        </w:div>
        <w:div w:id="1412049238">
          <w:marLeft w:val="0"/>
          <w:marRight w:val="0"/>
          <w:marTop w:val="0"/>
          <w:marBottom w:val="0"/>
          <w:divBdr>
            <w:top w:val="none" w:sz="0" w:space="0" w:color="auto"/>
            <w:left w:val="none" w:sz="0" w:space="0" w:color="auto"/>
            <w:bottom w:val="none" w:sz="0" w:space="0" w:color="auto"/>
            <w:right w:val="none" w:sz="0" w:space="0" w:color="auto"/>
          </w:divBdr>
        </w:div>
        <w:div w:id="1625848881">
          <w:marLeft w:val="0"/>
          <w:marRight w:val="0"/>
          <w:marTop w:val="0"/>
          <w:marBottom w:val="0"/>
          <w:divBdr>
            <w:top w:val="none" w:sz="0" w:space="0" w:color="auto"/>
            <w:left w:val="none" w:sz="0" w:space="0" w:color="auto"/>
            <w:bottom w:val="none" w:sz="0" w:space="0" w:color="auto"/>
            <w:right w:val="none" w:sz="0" w:space="0" w:color="auto"/>
          </w:divBdr>
        </w:div>
        <w:div w:id="318922752">
          <w:marLeft w:val="0"/>
          <w:marRight w:val="0"/>
          <w:marTop w:val="0"/>
          <w:marBottom w:val="0"/>
          <w:divBdr>
            <w:top w:val="none" w:sz="0" w:space="0" w:color="auto"/>
            <w:left w:val="none" w:sz="0" w:space="0" w:color="auto"/>
            <w:bottom w:val="none" w:sz="0" w:space="0" w:color="auto"/>
            <w:right w:val="none" w:sz="0" w:space="0" w:color="auto"/>
          </w:divBdr>
        </w:div>
        <w:div w:id="1362512045">
          <w:marLeft w:val="0"/>
          <w:marRight w:val="0"/>
          <w:marTop w:val="0"/>
          <w:marBottom w:val="0"/>
          <w:divBdr>
            <w:top w:val="none" w:sz="0" w:space="0" w:color="auto"/>
            <w:left w:val="none" w:sz="0" w:space="0" w:color="auto"/>
            <w:bottom w:val="none" w:sz="0" w:space="0" w:color="auto"/>
            <w:right w:val="none" w:sz="0" w:space="0" w:color="auto"/>
          </w:divBdr>
        </w:div>
        <w:div w:id="604114913">
          <w:marLeft w:val="0"/>
          <w:marRight w:val="0"/>
          <w:marTop w:val="0"/>
          <w:marBottom w:val="0"/>
          <w:divBdr>
            <w:top w:val="none" w:sz="0" w:space="0" w:color="auto"/>
            <w:left w:val="none" w:sz="0" w:space="0" w:color="auto"/>
            <w:bottom w:val="none" w:sz="0" w:space="0" w:color="auto"/>
            <w:right w:val="none" w:sz="0" w:space="0" w:color="auto"/>
          </w:divBdr>
        </w:div>
        <w:div w:id="99494173">
          <w:marLeft w:val="0"/>
          <w:marRight w:val="0"/>
          <w:marTop w:val="0"/>
          <w:marBottom w:val="0"/>
          <w:divBdr>
            <w:top w:val="none" w:sz="0" w:space="0" w:color="auto"/>
            <w:left w:val="none" w:sz="0" w:space="0" w:color="auto"/>
            <w:bottom w:val="none" w:sz="0" w:space="0" w:color="auto"/>
            <w:right w:val="none" w:sz="0" w:space="0" w:color="auto"/>
          </w:divBdr>
        </w:div>
      </w:divsChild>
    </w:div>
    <w:div w:id="1179388484">
      <w:bodyDiv w:val="1"/>
      <w:marLeft w:val="0"/>
      <w:marRight w:val="0"/>
      <w:marTop w:val="0"/>
      <w:marBottom w:val="0"/>
      <w:divBdr>
        <w:top w:val="none" w:sz="0" w:space="0" w:color="auto"/>
        <w:left w:val="none" w:sz="0" w:space="0" w:color="auto"/>
        <w:bottom w:val="none" w:sz="0" w:space="0" w:color="auto"/>
        <w:right w:val="none" w:sz="0" w:space="0" w:color="auto"/>
      </w:divBdr>
      <w:divsChild>
        <w:div w:id="1483696784">
          <w:marLeft w:val="0"/>
          <w:marRight w:val="0"/>
          <w:marTop w:val="0"/>
          <w:marBottom w:val="0"/>
          <w:divBdr>
            <w:top w:val="none" w:sz="0" w:space="0" w:color="auto"/>
            <w:left w:val="none" w:sz="0" w:space="0" w:color="auto"/>
            <w:bottom w:val="none" w:sz="0" w:space="0" w:color="auto"/>
            <w:right w:val="none" w:sz="0" w:space="0" w:color="auto"/>
          </w:divBdr>
        </w:div>
        <w:div w:id="1313607551">
          <w:marLeft w:val="0"/>
          <w:marRight w:val="0"/>
          <w:marTop w:val="0"/>
          <w:marBottom w:val="0"/>
          <w:divBdr>
            <w:top w:val="none" w:sz="0" w:space="0" w:color="auto"/>
            <w:left w:val="none" w:sz="0" w:space="0" w:color="auto"/>
            <w:bottom w:val="none" w:sz="0" w:space="0" w:color="auto"/>
            <w:right w:val="none" w:sz="0" w:space="0" w:color="auto"/>
          </w:divBdr>
        </w:div>
        <w:div w:id="384108435">
          <w:marLeft w:val="0"/>
          <w:marRight w:val="0"/>
          <w:marTop w:val="0"/>
          <w:marBottom w:val="0"/>
          <w:divBdr>
            <w:top w:val="none" w:sz="0" w:space="0" w:color="auto"/>
            <w:left w:val="none" w:sz="0" w:space="0" w:color="auto"/>
            <w:bottom w:val="none" w:sz="0" w:space="0" w:color="auto"/>
            <w:right w:val="none" w:sz="0" w:space="0" w:color="auto"/>
          </w:divBdr>
        </w:div>
        <w:div w:id="207881641">
          <w:marLeft w:val="0"/>
          <w:marRight w:val="0"/>
          <w:marTop w:val="0"/>
          <w:marBottom w:val="0"/>
          <w:divBdr>
            <w:top w:val="none" w:sz="0" w:space="0" w:color="auto"/>
            <w:left w:val="none" w:sz="0" w:space="0" w:color="auto"/>
            <w:bottom w:val="none" w:sz="0" w:space="0" w:color="auto"/>
            <w:right w:val="none" w:sz="0" w:space="0" w:color="auto"/>
          </w:divBdr>
        </w:div>
        <w:div w:id="816460942">
          <w:marLeft w:val="0"/>
          <w:marRight w:val="0"/>
          <w:marTop w:val="0"/>
          <w:marBottom w:val="0"/>
          <w:divBdr>
            <w:top w:val="none" w:sz="0" w:space="0" w:color="auto"/>
            <w:left w:val="none" w:sz="0" w:space="0" w:color="auto"/>
            <w:bottom w:val="none" w:sz="0" w:space="0" w:color="auto"/>
            <w:right w:val="none" w:sz="0" w:space="0" w:color="auto"/>
          </w:divBdr>
        </w:div>
        <w:div w:id="1430201878">
          <w:marLeft w:val="0"/>
          <w:marRight w:val="0"/>
          <w:marTop w:val="0"/>
          <w:marBottom w:val="0"/>
          <w:divBdr>
            <w:top w:val="none" w:sz="0" w:space="0" w:color="auto"/>
            <w:left w:val="none" w:sz="0" w:space="0" w:color="auto"/>
            <w:bottom w:val="none" w:sz="0" w:space="0" w:color="auto"/>
            <w:right w:val="none" w:sz="0" w:space="0" w:color="auto"/>
          </w:divBdr>
        </w:div>
        <w:div w:id="451825299">
          <w:marLeft w:val="0"/>
          <w:marRight w:val="0"/>
          <w:marTop w:val="0"/>
          <w:marBottom w:val="0"/>
          <w:divBdr>
            <w:top w:val="none" w:sz="0" w:space="0" w:color="auto"/>
            <w:left w:val="none" w:sz="0" w:space="0" w:color="auto"/>
            <w:bottom w:val="none" w:sz="0" w:space="0" w:color="auto"/>
            <w:right w:val="none" w:sz="0" w:space="0" w:color="auto"/>
          </w:divBdr>
        </w:div>
        <w:div w:id="2087720790">
          <w:marLeft w:val="0"/>
          <w:marRight w:val="0"/>
          <w:marTop w:val="0"/>
          <w:marBottom w:val="0"/>
          <w:divBdr>
            <w:top w:val="none" w:sz="0" w:space="0" w:color="auto"/>
            <w:left w:val="none" w:sz="0" w:space="0" w:color="auto"/>
            <w:bottom w:val="none" w:sz="0" w:space="0" w:color="auto"/>
            <w:right w:val="none" w:sz="0" w:space="0" w:color="auto"/>
          </w:divBdr>
        </w:div>
        <w:div w:id="1057973253">
          <w:marLeft w:val="0"/>
          <w:marRight w:val="0"/>
          <w:marTop w:val="0"/>
          <w:marBottom w:val="0"/>
          <w:divBdr>
            <w:top w:val="none" w:sz="0" w:space="0" w:color="auto"/>
            <w:left w:val="none" w:sz="0" w:space="0" w:color="auto"/>
            <w:bottom w:val="none" w:sz="0" w:space="0" w:color="auto"/>
            <w:right w:val="none" w:sz="0" w:space="0" w:color="auto"/>
          </w:divBdr>
        </w:div>
        <w:div w:id="892011503">
          <w:marLeft w:val="0"/>
          <w:marRight w:val="0"/>
          <w:marTop w:val="0"/>
          <w:marBottom w:val="0"/>
          <w:divBdr>
            <w:top w:val="none" w:sz="0" w:space="0" w:color="auto"/>
            <w:left w:val="none" w:sz="0" w:space="0" w:color="auto"/>
            <w:bottom w:val="none" w:sz="0" w:space="0" w:color="auto"/>
            <w:right w:val="none" w:sz="0" w:space="0" w:color="auto"/>
          </w:divBdr>
        </w:div>
        <w:div w:id="1803814059">
          <w:marLeft w:val="0"/>
          <w:marRight w:val="0"/>
          <w:marTop w:val="0"/>
          <w:marBottom w:val="0"/>
          <w:divBdr>
            <w:top w:val="none" w:sz="0" w:space="0" w:color="auto"/>
            <w:left w:val="none" w:sz="0" w:space="0" w:color="auto"/>
            <w:bottom w:val="none" w:sz="0" w:space="0" w:color="auto"/>
            <w:right w:val="none" w:sz="0" w:space="0" w:color="auto"/>
          </w:divBdr>
        </w:div>
        <w:div w:id="190076800">
          <w:marLeft w:val="0"/>
          <w:marRight w:val="0"/>
          <w:marTop w:val="0"/>
          <w:marBottom w:val="0"/>
          <w:divBdr>
            <w:top w:val="none" w:sz="0" w:space="0" w:color="auto"/>
            <w:left w:val="none" w:sz="0" w:space="0" w:color="auto"/>
            <w:bottom w:val="none" w:sz="0" w:space="0" w:color="auto"/>
            <w:right w:val="none" w:sz="0" w:space="0" w:color="auto"/>
          </w:divBdr>
        </w:div>
        <w:div w:id="1747534990">
          <w:marLeft w:val="0"/>
          <w:marRight w:val="0"/>
          <w:marTop w:val="0"/>
          <w:marBottom w:val="0"/>
          <w:divBdr>
            <w:top w:val="none" w:sz="0" w:space="0" w:color="auto"/>
            <w:left w:val="none" w:sz="0" w:space="0" w:color="auto"/>
            <w:bottom w:val="none" w:sz="0" w:space="0" w:color="auto"/>
            <w:right w:val="none" w:sz="0" w:space="0" w:color="auto"/>
          </w:divBdr>
        </w:div>
        <w:div w:id="583338473">
          <w:marLeft w:val="0"/>
          <w:marRight w:val="0"/>
          <w:marTop w:val="0"/>
          <w:marBottom w:val="0"/>
          <w:divBdr>
            <w:top w:val="none" w:sz="0" w:space="0" w:color="auto"/>
            <w:left w:val="none" w:sz="0" w:space="0" w:color="auto"/>
            <w:bottom w:val="none" w:sz="0" w:space="0" w:color="auto"/>
            <w:right w:val="none" w:sz="0" w:space="0" w:color="auto"/>
          </w:divBdr>
        </w:div>
        <w:div w:id="1242446926">
          <w:marLeft w:val="0"/>
          <w:marRight w:val="0"/>
          <w:marTop w:val="0"/>
          <w:marBottom w:val="0"/>
          <w:divBdr>
            <w:top w:val="none" w:sz="0" w:space="0" w:color="auto"/>
            <w:left w:val="none" w:sz="0" w:space="0" w:color="auto"/>
            <w:bottom w:val="none" w:sz="0" w:space="0" w:color="auto"/>
            <w:right w:val="none" w:sz="0" w:space="0" w:color="auto"/>
          </w:divBdr>
        </w:div>
        <w:div w:id="205027763">
          <w:marLeft w:val="0"/>
          <w:marRight w:val="0"/>
          <w:marTop w:val="0"/>
          <w:marBottom w:val="0"/>
          <w:divBdr>
            <w:top w:val="none" w:sz="0" w:space="0" w:color="auto"/>
            <w:left w:val="none" w:sz="0" w:space="0" w:color="auto"/>
            <w:bottom w:val="none" w:sz="0" w:space="0" w:color="auto"/>
            <w:right w:val="none" w:sz="0" w:space="0" w:color="auto"/>
          </w:divBdr>
        </w:div>
        <w:div w:id="1900289758">
          <w:marLeft w:val="0"/>
          <w:marRight w:val="0"/>
          <w:marTop w:val="0"/>
          <w:marBottom w:val="0"/>
          <w:divBdr>
            <w:top w:val="none" w:sz="0" w:space="0" w:color="auto"/>
            <w:left w:val="none" w:sz="0" w:space="0" w:color="auto"/>
            <w:bottom w:val="none" w:sz="0" w:space="0" w:color="auto"/>
            <w:right w:val="none" w:sz="0" w:space="0" w:color="auto"/>
          </w:divBdr>
        </w:div>
        <w:div w:id="541021273">
          <w:marLeft w:val="0"/>
          <w:marRight w:val="0"/>
          <w:marTop w:val="0"/>
          <w:marBottom w:val="0"/>
          <w:divBdr>
            <w:top w:val="none" w:sz="0" w:space="0" w:color="auto"/>
            <w:left w:val="none" w:sz="0" w:space="0" w:color="auto"/>
            <w:bottom w:val="none" w:sz="0" w:space="0" w:color="auto"/>
            <w:right w:val="none" w:sz="0" w:space="0" w:color="auto"/>
          </w:divBdr>
        </w:div>
        <w:div w:id="92014955">
          <w:marLeft w:val="0"/>
          <w:marRight w:val="0"/>
          <w:marTop w:val="0"/>
          <w:marBottom w:val="0"/>
          <w:divBdr>
            <w:top w:val="none" w:sz="0" w:space="0" w:color="auto"/>
            <w:left w:val="none" w:sz="0" w:space="0" w:color="auto"/>
            <w:bottom w:val="none" w:sz="0" w:space="0" w:color="auto"/>
            <w:right w:val="none" w:sz="0" w:space="0" w:color="auto"/>
          </w:divBdr>
        </w:div>
        <w:div w:id="654408267">
          <w:marLeft w:val="0"/>
          <w:marRight w:val="0"/>
          <w:marTop w:val="0"/>
          <w:marBottom w:val="0"/>
          <w:divBdr>
            <w:top w:val="none" w:sz="0" w:space="0" w:color="auto"/>
            <w:left w:val="none" w:sz="0" w:space="0" w:color="auto"/>
            <w:bottom w:val="none" w:sz="0" w:space="0" w:color="auto"/>
            <w:right w:val="none" w:sz="0" w:space="0" w:color="auto"/>
          </w:divBdr>
        </w:div>
        <w:div w:id="783156243">
          <w:marLeft w:val="0"/>
          <w:marRight w:val="0"/>
          <w:marTop w:val="0"/>
          <w:marBottom w:val="0"/>
          <w:divBdr>
            <w:top w:val="none" w:sz="0" w:space="0" w:color="auto"/>
            <w:left w:val="none" w:sz="0" w:space="0" w:color="auto"/>
            <w:bottom w:val="none" w:sz="0" w:space="0" w:color="auto"/>
            <w:right w:val="none" w:sz="0" w:space="0" w:color="auto"/>
          </w:divBdr>
        </w:div>
        <w:div w:id="993800543">
          <w:marLeft w:val="0"/>
          <w:marRight w:val="0"/>
          <w:marTop w:val="0"/>
          <w:marBottom w:val="0"/>
          <w:divBdr>
            <w:top w:val="none" w:sz="0" w:space="0" w:color="auto"/>
            <w:left w:val="none" w:sz="0" w:space="0" w:color="auto"/>
            <w:bottom w:val="none" w:sz="0" w:space="0" w:color="auto"/>
            <w:right w:val="none" w:sz="0" w:space="0" w:color="auto"/>
          </w:divBdr>
        </w:div>
        <w:div w:id="553276948">
          <w:marLeft w:val="0"/>
          <w:marRight w:val="0"/>
          <w:marTop w:val="0"/>
          <w:marBottom w:val="0"/>
          <w:divBdr>
            <w:top w:val="none" w:sz="0" w:space="0" w:color="auto"/>
            <w:left w:val="none" w:sz="0" w:space="0" w:color="auto"/>
            <w:bottom w:val="none" w:sz="0" w:space="0" w:color="auto"/>
            <w:right w:val="none" w:sz="0" w:space="0" w:color="auto"/>
          </w:divBdr>
        </w:div>
        <w:div w:id="1002320620">
          <w:marLeft w:val="0"/>
          <w:marRight w:val="0"/>
          <w:marTop w:val="0"/>
          <w:marBottom w:val="0"/>
          <w:divBdr>
            <w:top w:val="none" w:sz="0" w:space="0" w:color="auto"/>
            <w:left w:val="none" w:sz="0" w:space="0" w:color="auto"/>
            <w:bottom w:val="none" w:sz="0" w:space="0" w:color="auto"/>
            <w:right w:val="none" w:sz="0" w:space="0" w:color="auto"/>
          </w:divBdr>
        </w:div>
        <w:div w:id="705256082">
          <w:marLeft w:val="0"/>
          <w:marRight w:val="0"/>
          <w:marTop w:val="0"/>
          <w:marBottom w:val="0"/>
          <w:divBdr>
            <w:top w:val="none" w:sz="0" w:space="0" w:color="auto"/>
            <w:left w:val="none" w:sz="0" w:space="0" w:color="auto"/>
            <w:bottom w:val="none" w:sz="0" w:space="0" w:color="auto"/>
            <w:right w:val="none" w:sz="0" w:space="0" w:color="auto"/>
          </w:divBdr>
        </w:div>
        <w:div w:id="1790933322">
          <w:marLeft w:val="0"/>
          <w:marRight w:val="0"/>
          <w:marTop w:val="0"/>
          <w:marBottom w:val="0"/>
          <w:divBdr>
            <w:top w:val="none" w:sz="0" w:space="0" w:color="auto"/>
            <w:left w:val="none" w:sz="0" w:space="0" w:color="auto"/>
            <w:bottom w:val="none" w:sz="0" w:space="0" w:color="auto"/>
            <w:right w:val="none" w:sz="0" w:space="0" w:color="auto"/>
          </w:divBdr>
        </w:div>
      </w:divsChild>
    </w:div>
    <w:div w:id="1216695342">
      <w:bodyDiv w:val="1"/>
      <w:marLeft w:val="0"/>
      <w:marRight w:val="0"/>
      <w:marTop w:val="0"/>
      <w:marBottom w:val="0"/>
      <w:divBdr>
        <w:top w:val="none" w:sz="0" w:space="0" w:color="auto"/>
        <w:left w:val="none" w:sz="0" w:space="0" w:color="auto"/>
        <w:bottom w:val="none" w:sz="0" w:space="0" w:color="auto"/>
        <w:right w:val="none" w:sz="0" w:space="0" w:color="auto"/>
      </w:divBdr>
    </w:div>
    <w:div w:id="1404373463">
      <w:bodyDiv w:val="1"/>
      <w:marLeft w:val="0"/>
      <w:marRight w:val="0"/>
      <w:marTop w:val="0"/>
      <w:marBottom w:val="0"/>
      <w:divBdr>
        <w:top w:val="none" w:sz="0" w:space="0" w:color="auto"/>
        <w:left w:val="none" w:sz="0" w:space="0" w:color="auto"/>
        <w:bottom w:val="none" w:sz="0" w:space="0" w:color="auto"/>
        <w:right w:val="none" w:sz="0" w:space="0" w:color="auto"/>
      </w:divBdr>
      <w:divsChild>
        <w:div w:id="8996119">
          <w:marLeft w:val="0"/>
          <w:marRight w:val="0"/>
          <w:marTop w:val="0"/>
          <w:marBottom w:val="0"/>
          <w:divBdr>
            <w:top w:val="none" w:sz="0" w:space="0" w:color="auto"/>
            <w:left w:val="none" w:sz="0" w:space="0" w:color="auto"/>
            <w:bottom w:val="none" w:sz="0" w:space="0" w:color="auto"/>
            <w:right w:val="none" w:sz="0" w:space="0" w:color="auto"/>
          </w:divBdr>
        </w:div>
        <w:div w:id="501236490">
          <w:marLeft w:val="0"/>
          <w:marRight w:val="0"/>
          <w:marTop w:val="0"/>
          <w:marBottom w:val="0"/>
          <w:divBdr>
            <w:top w:val="none" w:sz="0" w:space="0" w:color="auto"/>
            <w:left w:val="none" w:sz="0" w:space="0" w:color="auto"/>
            <w:bottom w:val="none" w:sz="0" w:space="0" w:color="auto"/>
            <w:right w:val="none" w:sz="0" w:space="0" w:color="auto"/>
          </w:divBdr>
        </w:div>
        <w:div w:id="1765998597">
          <w:marLeft w:val="0"/>
          <w:marRight w:val="0"/>
          <w:marTop w:val="0"/>
          <w:marBottom w:val="0"/>
          <w:divBdr>
            <w:top w:val="none" w:sz="0" w:space="0" w:color="auto"/>
            <w:left w:val="none" w:sz="0" w:space="0" w:color="auto"/>
            <w:bottom w:val="none" w:sz="0" w:space="0" w:color="auto"/>
            <w:right w:val="none" w:sz="0" w:space="0" w:color="auto"/>
          </w:divBdr>
        </w:div>
        <w:div w:id="1248348431">
          <w:marLeft w:val="0"/>
          <w:marRight w:val="0"/>
          <w:marTop w:val="0"/>
          <w:marBottom w:val="0"/>
          <w:divBdr>
            <w:top w:val="none" w:sz="0" w:space="0" w:color="auto"/>
            <w:left w:val="none" w:sz="0" w:space="0" w:color="auto"/>
            <w:bottom w:val="none" w:sz="0" w:space="0" w:color="auto"/>
            <w:right w:val="none" w:sz="0" w:space="0" w:color="auto"/>
          </w:divBdr>
        </w:div>
        <w:div w:id="1854688768">
          <w:marLeft w:val="0"/>
          <w:marRight w:val="0"/>
          <w:marTop w:val="0"/>
          <w:marBottom w:val="0"/>
          <w:divBdr>
            <w:top w:val="none" w:sz="0" w:space="0" w:color="auto"/>
            <w:left w:val="none" w:sz="0" w:space="0" w:color="auto"/>
            <w:bottom w:val="none" w:sz="0" w:space="0" w:color="auto"/>
            <w:right w:val="none" w:sz="0" w:space="0" w:color="auto"/>
          </w:divBdr>
        </w:div>
        <w:div w:id="138811056">
          <w:marLeft w:val="0"/>
          <w:marRight w:val="0"/>
          <w:marTop w:val="0"/>
          <w:marBottom w:val="0"/>
          <w:divBdr>
            <w:top w:val="none" w:sz="0" w:space="0" w:color="auto"/>
            <w:left w:val="none" w:sz="0" w:space="0" w:color="auto"/>
            <w:bottom w:val="none" w:sz="0" w:space="0" w:color="auto"/>
            <w:right w:val="none" w:sz="0" w:space="0" w:color="auto"/>
          </w:divBdr>
        </w:div>
        <w:div w:id="1754088768">
          <w:marLeft w:val="0"/>
          <w:marRight w:val="0"/>
          <w:marTop w:val="0"/>
          <w:marBottom w:val="0"/>
          <w:divBdr>
            <w:top w:val="none" w:sz="0" w:space="0" w:color="auto"/>
            <w:left w:val="none" w:sz="0" w:space="0" w:color="auto"/>
            <w:bottom w:val="none" w:sz="0" w:space="0" w:color="auto"/>
            <w:right w:val="none" w:sz="0" w:space="0" w:color="auto"/>
          </w:divBdr>
        </w:div>
      </w:divsChild>
    </w:div>
    <w:div w:id="1440876930">
      <w:bodyDiv w:val="1"/>
      <w:marLeft w:val="0"/>
      <w:marRight w:val="0"/>
      <w:marTop w:val="0"/>
      <w:marBottom w:val="0"/>
      <w:divBdr>
        <w:top w:val="none" w:sz="0" w:space="0" w:color="auto"/>
        <w:left w:val="none" w:sz="0" w:space="0" w:color="auto"/>
        <w:bottom w:val="none" w:sz="0" w:space="0" w:color="auto"/>
        <w:right w:val="none" w:sz="0" w:space="0" w:color="auto"/>
      </w:divBdr>
    </w:div>
    <w:div w:id="1479804131">
      <w:bodyDiv w:val="1"/>
      <w:marLeft w:val="0"/>
      <w:marRight w:val="0"/>
      <w:marTop w:val="0"/>
      <w:marBottom w:val="0"/>
      <w:divBdr>
        <w:top w:val="none" w:sz="0" w:space="0" w:color="auto"/>
        <w:left w:val="none" w:sz="0" w:space="0" w:color="auto"/>
        <w:bottom w:val="none" w:sz="0" w:space="0" w:color="auto"/>
        <w:right w:val="none" w:sz="0" w:space="0" w:color="auto"/>
      </w:divBdr>
    </w:div>
    <w:div w:id="1518696306">
      <w:bodyDiv w:val="1"/>
      <w:marLeft w:val="0"/>
      <w:marRight w:val="0"/>
      <w:marTop w:val="0"/>
      <w:marBottom w:val="0"/>
      <w:divBdr>
        <w:top w:val="none" w:sz="0" w:space="0" w:color="auto"/>
        <w:left w:val="none" w:sz="0" w:space="0" w:color="auto"/>
        <w:bottom w:val="none" w:sz="0" w:space="0" w:color="auto"/>
        <w:right w:val="none" w:sz="0" w:space="0" w:color="auto"/>
      </w:divBdr>
    </w:div>
    <w:div w:id="1591890637">
      <w:bodyDiv w:val="1"/>
      <w:marLeft w:val="0"/>
      <w:marRight w:val="0"/>
      <w:marTop w:val="0"/>
      <w:marBottom w:val="0"/>
      <w:divBdr>
        <w:top w:val="none" w:sz="0" w:space="0" w:color="auto"/>
        <w:left w:val="none" w:sz="0" w:space="0" w:color="auto"/>
        <w:bottom w:val="none" w:sz="0" w:space="0" w:color="auto"/>
        <w:right w:val="none" w:sz="0" w:space="0" w:color="auto"/>
      </w:divBdr>
    </w:div>
    <w:div w:id="1709183594">
      <w:bodyDiv w:val="1"/>
      <w:marLeft w:val="0"/>
      <w:marRight w:val="0"/>
      <w:marTop w:val="0"/>
      <w:marBottom w:val="0"/>
      <w:divBdr>
        <w:top w:val="none" w:sz="0" w:space="0" w:color="auto"/>
        <w:left w:val="none" w:sz="0" w:space="0" w:color="auto"/>
        <w:bottom w:val="none" w:sz="0" w:space="0" w:color="auto"/>
        <w:right w:val="none" w:sz="0" w:space="0" w:color="auto"/>
      </w:divBdr>
    </w:div>
    <w:div w:id="1872574890">
      <w:bodyDiv w:val="1"/>
      <w:marLeft w:val="0"/>
      <w:marRight w:val="0"/>
      <w:marTop w:val="0"/>
      <w:marBottom w:val="0"/>
      <w:divBdr>
        <w:top w:val="none" w:sz="0" w:space="0" w:color="auto"/>
        <w:left w:val="none" w:sz="0" w:space="0" w:color="auto"/>
        <w:bottom w:val="none" w:sz="0" w:space="0" w:color="auto"/>
        <w:right w:val="none" w:sz="0" w:space="0" w:color="auto"/>
      </w:divBdr>
    </w:div>
    <w:div w:id="2029939009">
      <w:bodyDiv w:val="1"/>
      <w:marLeft w:val="0"/>
      <w:marRight w:val="0"/>
      <w:marTop w:val="0"/>
      <w:marBottom w:val="0"/>
      <w:divBdr>
        <w:top w:val="none" w:sz="0" w:space="0" w:color="auto"/>
        <w:left w:val="none" w:sz="0" w:space="0" w:color="auto"/>
        <w:bottom w:val="none" w:sz="0" w:space="0" w:color="auto"/>
        <w:right w:val="none" w:sz="0" w:space="0" w:color="auto"/>
      </w:divBdr>
    </w:div>
    <w:div w:id="2138909197">
      <w:bodyDiv w:val="1"/>
      <w:marLeft w:val="0"/>
      <w:marRight w:val="0"/>
      <w:marTop w:val="0"/>
      <w:marBottom w:val="0"/>
      <w:divBdr>
        <w:top w:val="none" w:sz="0" w:space="0" w:color="auto"/>
        <w:left w:val="none" w:sz="0" w:space="0" w:color="auto"/>
        <w:bottom w:val="none" w:sz="0" w:space="0" w:color="auto"/>
        <w:right w:val="none" w:sz="0" w:space="0" w:color="auto"/>
      </w:divBdr>
    </w:div>
    <w:div w:id="2142572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dcsa.mil/Industrial-Security/Entity-Vetting-Facility-Clearances-FOCI/Foreign-Ownership-Control-or-Influence/" TargetMode="External"/><Relationship Id="rId18" Type="http://schemas.openxmlformats.org/officeDocument/2006/relationships/hyperlink" Target="mailto:jennifer.moyer@us.af.mil" TargetMode="External"/><Relationship Id="rId26" Type="http://schemas.openxmlformats.org/officeDocument/2006/relationships/hyperlink" Target="http://www.dla.mil/HQ/InformationOperations/LogisticsInformationServices.aspx" TargetMode="External"/><Relationship Id="rId3" Type="http://schemas.openxmlformats.org/officeDocument/2006/relationships/customXml" Target="../customXml/item3.xml"/><Relationship Id="rId21" Type="http://schemas.openxmlformats.org/officeDocument/2006/relationships/hyperlink" Target="http://www.access.gpo.gov/nara/cfr/waisidx_07/32cfr219_07.html" TargetMode="External"/><Relationship Id="rId7" Type="http://schemas.openxmlformats.org/officeDocument/2006/relationships/webSettings" Target="webSettings.xml"/><Relationship Id="rId12" Type="http://schemas.openxmlformats.org/officeDocument/2006/relationships/hyperlink" Target="mailto:Amber.Buckley@us.af.mil" TargetMode="External"/><Relationship Id="rId17" Type="http://schemas.openxmlformats.org/officeDocument/2006/relationships/hyperlink" Target="http://www.dcsa.mil/" TargetMode="External"/><Relationship Id="rId25" Type="http://schemas.openxmlformats.org/officeDocument/2006/relationships/hyperlink" Target="https://sam.gov/opp/bf3b59bda4814397b37a3c96c302178e/view"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AFRL.RIOF@us.af.mil" TargetMode="External"/><Relationship Id="rId20" Type="http://schemas.openxmlformats.org/officeDocument/2006/relationships/hyperlink" Target="https://sam.gov/opp/e628c811fafe041accdddf55fb8539bf/view?keywords=AFRL-BAA-Guide&amp;sort=-relevance&amp;index=&amp;is_active=true&amp;page=1" TargetMode="External"/><Relationship Id="rId29" Type="http://schemas.openxmlformats.org/officeDocument/2006/relationships/hyperlink" Target="mailto:Amber.Buckley@us.af.mi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mber.Buckley@us.af.mil" TargetMode="External"/><Relationship Id="rId24" Type="http://schemas.openxmlformats.org/officeDocument/2006/relationships/hyperlink" Target="https://www.sprs.csd.disa.mil/"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sam.gov/opp/5d5947ee115b4a49adc07d0bc4bc72e5/view" TargetMode="External"/><Relationship Id="rId23" Type="http://schemas.openxmlformats.org/officeDocument/2006/relationships/hyperlink" Target="http://www.hhs.gov/ohrp" TargetMode="External"/><Relationship Id="rId28" Type="http://schemas.openxmlformats.org/officeDocument/2006/relationships/hyperlink" Target="mailto:ngwe.thawdar@us.af.mil" TargetMode="External"/><Relationship Id="rId10" Type="http://schemas.openxmlformats.org/officeDocument/2006/relationships/hyperlink" Target="https://SAM.gov" TargetMode="External"/><Relationship Id="rId19" Type="http://schemas.openxmlformats.org/officeDocument/2006/relationships/hyperlink" Target="https://www.govinfo.gov/app/details/CFR-2023-title2-vol1/CFR-2023-title2-vol1-part25-appA" TargetMode="External"/><Relationship Id="rId31"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png"/><Relationship Id="rId22" Type="http://schemas.openxmlformats.org/officeDocument/2006/relationships/hyperlink" Target="http://www.dtic.mil/whs/directives/corres/pdf/321602p.pdf" TargetMode="External"/><Relationship Id="rId27" Type="http://schemas.openxmlformats.org/officeDocument/2006/relationships/hyperlink" Target="https://www.grants.gov/forms/r-r-family.html" TargetMode="External"/><Relationship Id="rId30" Type="http://schemas.openxmlformats.org/officeDocument/2006/relationships/hyperlink" Target="mailto:afrl.pk.workflow@us.af.mil" TargetMode="Externa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A5471FCDCD1B4CBF357FFC0F8AA190" ma:contentTypeVersion="9" ma:contentTypeDescription="Create a new document." ma:contentTypeScope="" ma:versionID="c5a0c8382ecb78d631ff5082408b806e">
  <xsd:schema xmlns:xsd="http://www.w3.org/2001/XMLSchema" xmlns:xs="http://www.w3.org/2001/XMLSchema" xmlns:p="http://schemas.microsoft.com/office/2006/metadata/properties" xmlns:ns2="0a2baad4-caa7-41e4-83d0-d01001650354" xmlns:ns3="bac4e3eb-747f-43bc-bf10-c1bbb893ecac" targetNamespace="http://schemas.microsoft.com/office/2006/metadata/properties" ma:root="true" ma:fieldsID="67787db84cc7c896adbcf06701932e45" ns2:_="" ns3:_="">
    <xsd:import namespace="0a2baad4-caa7-41e4-83d0-d01001650354"/>
    <xsd:import namespace="bac4e3eb-747f-43bc-bf10-c1bbb893eca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2baad4-caa7-41e4-83d0-d010016503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c4e3eb-747f-43bc-bf10-c1bbb893eca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968e826-8f93-4375-adb1-5e0285bbb15f}" ma:internalName="TaxCatchAll" ma:showField="CatchAllData" ma:web="1487fa8d-f2ba-4631-81ad-367ab0d472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ac4e3eb-747f-43bc-bf10-c1bbb893ecac" xsi:nil="true"/>
    <lcf76f155ced4ddcb4097134ff3c332f xmlns="0a2baad4-caa7-41e4-83d0-d0100165035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4DC3403-4C05-46E7-8221-3A34106212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2baad4-caa7-41e4-83d0-d01001650354"/>
    <ds:schemaRef ds:uri="bac4e3eb-747f-43bc-bf10-c1bbb893ec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76B08B-F948-4087-905A-6879C0501923}">
  <ds:schemaRefs>
    <ds:schemaRef ds:uri="http://schemas.microsoft.com/sharepoint/v3/contenttype/forms"/>
  </ds:schemaRefs>
</ds:datastoreItem>
</file>

<file path=customXml/itemProps3.xml><?xml version="1.0" encoding="utf-8"?>
<ds:datastoreItem xmlns:ds="http://schemas.openxmlformats.org/officeDocument/2006/customXml" ds:itemID="{94E6AB1D-7166-4B90-AC7F-325C11D31BB9}">
  <ds:schemaRefs>
    <ds:schemaRef ds:uri="http://schemas.microsoft.com/office/infopath/2007/PartnerControls"/>
    <ds:schemaRef ds:uri="http://schemas.microsoft.com/office/2006/metadata/properties"/>
    <ds:schemaRef ds:uri="0a2baad4-caa7-41e4-83d0-d01001650354"/>
    <ds:schemaRef ds:uri="http://www.w3.org/XML/1998/namespace"/>
    <ds:schemaRef ds:uri="http://purl.org/dc/dcmitype/"/>
    <ds:schemaRef ds:uri="http://purl.org/dc/elements/1.1/"/>
    <ds:schemaRef ds:uri="http://schemas.microsoft.com/office/2006/documentManagement/types"/>
    <ds:schemaRef ds:uri="http://schemas.openxmlformats.org/package/2006/metadata/core-properties"/>
    <ds:schemaRef ds:uri="bac4e3eb-747f-43bc-bf10-c1bbb893ecac"/>
    <ds:schemaRef ds:uri="http://purl.org/dc/terms/"/>
  </ds:schemaRefs>
</ds:datastoreItem>
</file>

<file path=docMetadata/LabelInfo.xml><?xml version="1.0" encoding="utf-8"?>
<clbl:labelList xmlns:clbl="http://schemas.microsoft.com/office/2020/mipLabelMetadata">
  <clbl:label id="{8331b18d-2d87-48ef-a35f-ac8818ebf9b4}" enabled="0" method="" siteId="{8331b18d-2d87-48ef-a35f-ac8818ebf9b4}" removed="1"/>
</clbl:labelList>
</file>

<file path=docProps/app.xml><?xml version="1.0" encoding="utf-8"?>
<Properties xmlns="http://schemas.openxmlformats.org/officeDocument/2006/extended-properties" xmlns:vt="http://schemas.openxmlformats.org/officeDocument/2006/docPropsVTypes">
  <Template>Normal</Template>
  <TotalTime>2</TotalTime>
  <Pages>21</Pages>
  <Words>9153</Words>
  <Characters>55222</Characters>
  <Application>Microsoft Office Word</Application>
  <DocSecurity>0</DocSecurity>
  <Lines>460</Lines>
  <Paragraphs>128</Paragraphs>
  <ScaleCrop>false</ScaleCrop>
  <HeadingPairs>
    <vt:vector size="2" baseType="variant">
      <vt:variant>
        <vt:lpstr>Title</vt:lpstr>
      </vt:variant>
      <vt:variant>
        <vt:i4>1</vt:i4>
      </vt:variant>
    </vt:vector>
  </HeadingPairs>
  <TitlesOfParts>
    <vt:vector size="1" baseType="lpstr">
      <vt:lpstr>FEDERAL AGENCY NAME:</vt:lpstr>
    </vt:vector>
  </TitlesOfParts>
  <Company>AFRL/IF</Company>
  <LinksUpToDate>false</LinksUpToDate>
  <CharactersWithSpaces>64247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FEDERAL AGENCY NAME:</dc:title>
  <dc:subject/>
  <dc:creator>Rome Research Site</dc:creator>
  <cp:keywords/>
  <cp:lastModifiedBy>BUCKLEY, AMBER M CIV USAF AFMC AFRL/RIKA</cp:lastModifiedBy>
  <cp:revision>3</cp:revision>
  <cp:lastPrinted>2023-08-09T14:42:00Z</cp:lastPrinted>
  <dcterms:created xsi:type="dcterms:W3CDTF">2025-09-22T18:28:00Z</dcterms:created>
  <dcterms:modified xsi:type="dcterms:W3CDTF">2025-09-22T19:05:00Z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0x01010047A5471FCDCD1B4CBF357FFC0F8AA190</vt:lpwstr>
  </property>
  <property fmtid="{D5CDD505-2E9C-101B-9397-08002B2CF9AE}" pid="4" name="MediaServiceImageTags">
    <vt:lpwstr/>
  </property>
</Properties>
</file>